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rPr>
      </w:pPr>
      <w:bookmarkStart w:id="5" w:name="_GoBack"/>
      <w:bookmarkEnd w:id="5"/>
    </w:p>
    <w:p>
      <w:pPr>
        <w:ind w:firstLine="0" w:firstLineChars="0"/>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2025年度国家社科基金教育学重大项目</w:t>
      </w:r>
    </w:p>
    <w:p>
      <w:pPr>
        <w:ind w:firstLine="0" w:firstLineChars="0"/>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选题指南</w:t>
      </w:r>
    </w:p>
    <w:p>
      <w:pPr>
        <w:ind w:firstLine="0" w:firstLineChars="0"/>
        <w:rPr>
          <w:rFonts w:hint="eastAsia"/>
        </w:rPr>
      </w:pPr>
    </w:p>
    <w:p>
      <w:pPr>
        <w:ind w:firstLine="640"/>
        <w:rPr>
          <w:rFonts w:hint="eastAsia" w:ascii="仿宋_GB2312" w:hAnsi="仿宋_GB2312" w:eastAsia="仿宋_GB2312" w:cs="仿宋_GB2312"/>
        </w:rPr>
      </w:pPr>
      <w:r>
        <w:rPr>
          <w:rFonts w:hint="eastAsia" w:ascii="仿宋_GB2312" w:hAnsi="仿宋_GB2312" w:eastAsia="仿宋_GB2312" w:cs="仿宋_GB2312"/>
        </w:rPr>
        <w:t>本年度对国家社科基金教育学重大项目提供指南及其意图。评审采取招标方式。投标书应着力体现指南意图内容。重大项目应用性研究一般应在2-3年完成，基础性研究最长不得超过5年。</w:t>
      </w:r>
    </w:p>
    <w:p>
      <w:pPr>
        <w:ind w:firstLine="0" w:firstLineChars="0"/>
        <w:rPr>
          <w:rFonts w:hint="eastAsia" w:ascii="仿宋_GB2312" w:hAnsi="仿宋_GB2312" w:eastAsia="仿宋_GB2312" w:cs="仿宋_GB2312"/>
        </w:rPr>
      </w:pPr>
    </w:p>
    <w:p>
      <w:pPr>
        <w:ind w:firstLine="640"/>
        <w:rPr>
          <w:rFonts w:hint="eastAsia" w:ascii="仿宋_GB2312" w:hAnsi="仿宋_GB2312" w:eastAsia="仿宋_GB2312" w:cs="仿宋_GB2312"/>
          <w:b/>
          <w:bCs/>
        </w:rPr>
      </w:pPr>
      <w:r>
        <w:rPr>
          <w:rFonts w:hint="eastAsia" w:ascii="仿宋_GB2312" w:hAnsi="仿宋_GB2312" w:eastAsia="仿宋_GB2312" w:cs="仿宋_GB2312"/>
          <w:b/>
          <w:bCs/>
        </w:rPr>
        <w:t>1.《教育强国建设规划纲要》实施跟踪研究</w:t>
      </w:r>
    </w:p>
    <w:p>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（1）重点跟踪2027年前要完成的目标任务；（2）聚焦新时代教育思想、高等教育龙头作用、促进人口高质量发展、智能时代教育新形态、拔尖</w:t>
      </w:r>
      <w:r>
        <w:rPr>
          <w:rFonts w:hint="eastAsia" w:ascii="仿宋_GB2312" w:hAnsi="仿宋_GB2312" w:eastAsia="仿宋_GB2312" w:cs="仿宋_GB2312"/>
          <w:lang w:eastAsia="zh-CN"/>
        </w:rPr>
        <w:t>创新</w:t>
      </w:r>
      <w:r>
        <w:rPr>
          <w:rFonts w:hint="eastAsia" w:ascii="仿宋_GB2312" w:hAnsi="仿宋_GB2312" w:eastAsia="仿宋_GB2312" w:cs="仿宋_GB2312"/>
        </w:rPr>
        <w:t>人才贯通培养、服务就业优先、世界重要教育中心建设等战略问题开展专项分析；（3）密切跟踪重大改革试点，研究试点中的新情况新问题；（4）选择3-5个有代表性的区域，编制发布区域建设进展报告；（5）开展教育强国建设满意度调查。</w:t>
      </w:r>
    </w:p>
    <w:p>
      <w:pPr>
        <w:ind w:firstLine="640"/>
        <w:rPr>
          <w:rFonts w:hint="eastAsia" w:ascii="仿宋_GB2312" w:hAnsi="仿宋_GB2312" w:eastAsia="仿宋_GB2312" w:cs="仿宋_GB2312"/>
          <w:b/>
          <w:bCs/>
        </w:rPr>
      </w:pPr>
    </w:p>
    <w:p>
      <w:pPr>
        <w:ind w:firstLine="640"/>
        <w:rPr>
          <w:rFonts w:hint="eastAsia" w:ascii="仿宋_GB2312" w:hAnsi="仿宋_GB2312" w:eastAsia="仿宋_GB2312" w:cs="仿宋_GB2312"/>
          <w:b/>
          <w:bCs/>
        </w:rPr>
      </w:pPr>
      <w:r>
        <w:rPr>
          <w:rFonts w:hint="eastAsia" w:ascii="仿宋_GB2312" w:hAnsi="仿宋_GB2312" w:eastAsia="仿宋_GB2312" w:cs="仿宋_GB2312"/>
          <w:b/>
          <w:bCs/>
        </w:rPr>
        <w:t>2.“三大属性”引领教育体系变革研究</w:t>
      </w:r>
    </w:p>
    <w:p>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梳理教育属性历史研究，结合新时代教育变革实践，对“三大属性”进行理论阐释；（2）建构支撑教育强国建设的教育结构体系理论模型；（3）从现实问题入手，对“八大体系”的内涵逐一分析；（4）选择若干重点行业开展大规模人才需求调查；（5）以需求侧调查为基础，对“八大体系”供给侧变革的战略重点进行分析，提出相应政策建议。</w:t>
      </w:r>
    </w:p>
    <w:p>
      <w:pPr>
        <w:ind w:firstLine="640"/>
        <w:rPr>
          <w:rFonts w:hint="eastAsia" w:ascii="仿宋_GB2312" w:hAnsi="仿宋_GB2312" w:eastAsia="仿宋_GB2312" w:cs="仿宋_GB2312"/>
          <w:b/>
          <w:bCs/>
        </w:rPr>
      </w:pPr>
    </w:p>
    <w:p>
      <w:pPr>
        <w:ind w:firstLine="640"/>
        <w:rPr>
          <w:rFonts w:hint="eastAsia" w:ascii="仿宋_GB2312" w:hAnsi="仿宋_GB2312" w:eastAsia="仿宋_GB2312" w:cs="仿宋_GB2312"/>
          <w:b/>
          <w:bCs/>
        </w:rPr>
      </w:pPr>
      <w:r>
        <w:rPr>
          <w:rFonts w:hint="eastAsia" w:ascii="仿宋_GB2312" w:hAnsi="仿宋_GB2312" w:eastAsia="仿宋_GB2312" w:cs="仿宋_GB2312"/>
          <w:b/>
          <w:bCs/>
        </w:rPr>
        <w:t>3.社会主义核心价值观教育成效评价研究</w:t>
      </w:r>
    </w:p>
    <w:p>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用政策分析工具对十八大以来社会主义核心价值观教育的政策进行分析；（2）建立价值观成效评价模型；（3）开展战略人才海外发展群体调研；（4）开发思政引领力指数；（5）提交成效评价报告；（6）研究学生发展核心素养体系的优化。</w:t>
      </w:r>
    </w:p>
    <w:p>
      <w:pPr>
        <w:ind w:firstLine="640"/>
        <w:rPr>
          <w:rFonts w:hint="eastAsia" w:ascii="仿宋_GB2312" w:hAnsi="仿宋_GB2312" w:eastAsia="仿宋_GB2312" w:cs="仿宋_GB2312"/>
          <w:b/>
          <w:bCs/>
        </w:rPr>
      </w:pPr>
    </w:p>
    <w:p>
      <w:pPr>
        <w:ind w:firstLine="640"/>
        <w:rPr>
          <w:rFonts w:hint="eastAsia" w:ascii="仿宋_GB2312" w:hAnsi="仿宋_GB2312" w:eastAsia="仿宋_GB2312" w:cs="仿宋_GB2312"/>
          <w:b/>
          <w:bCs/>
        </w:rPr>
      </w:pPr>
      <w:r>
        <w:rPr>
          <w:rFonts w:hint="eastAsia" w:ascii="仿宋_GB2312" w:hAnsi="仿宋_GB2312" w:eastAsia="仿宋_GB2312" w:cs="仿宋_GB2312"/>
          <w:b/>
          <w:bCs/>
        </w:rPr>
        <w:t>4.时代新人</w:t>
      </w:r>
      <w:bookmarkStart w:id="0" w:name="OLE_LINK1"/>
      <w:r>
        <w:rPr>
          <w:rFonts w:hint="eastAsia" w:ascii="仿宋_GB2312" w:hAnsi="仿宋_GB2312" w:eastAsia="仿宋_GB2312" w:cs="仿宋_GB2312"/>
          <w:b/>
          <w:bCs/>
        </w:rPr>
        <w:t>精神生活质量</w:t>
      </w:r>
      <w:bookmarkEnd w:id="0"/>
      <w:r>
        <w:rPr>
          <w:rFonts w:hint="eastAsia" w:ascii="仿宋_GB2312" w:hAnsi="仿宋_GB2312" w:eastAsia="仿宋_GB2312" w:cs="仿宋_GB2312"/>
          <w:b/>
          <w:bCs/>
        </w:rPr>
        <w:t>调查研究</w:t>
      </w:r>
    </w:p>
    <w:p>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从使命驱动角度分析时代新人精神生活质量内涵；（2）建立时代新人精神生活质量评价指标体系；（3）建立若干长期跟踪监测点；（4）建立时代新人精神生活质量数据库；（5）重点围绕时代新人的理想信念、文化自信、网络生活、阅读、亚文化、公共精神等提交研究报告。</w:t>
      </w:r>
    </w:p>
    <w:p>
      <w:pPr>
        <w:ind w:firstLine="640"/>
        <w:rPr>
          <w:rFonts w:hint="eastAsia" w:ascii="仿宋_GB2312" w:hAnsi="仿宋_GB2312" w:eastAsia="仿宋_GB2312" w:cs="仿宋_GB2312"/>
          <w:b/>
          <w:bCs/>
        </w:rPr>
      </w:pPr>
    </w:p>
    <w:p>
      <w:pPr>
        <w:ind w:firstLine="640"/>
        <w:rPr>
          <w:rFonts w:hint="eastAsia" w:ascii="仿宋_GB2312" w:hAnsi="仿宋_GB2312" w:eastAsia="仿宋_GB2312" w:cs="仿宋_GB2312"/>
          <w:b/>
          <w:bCs/>
        </w:rPr>
      </w:pPr>
      <w:r>
        <w:rPr>
          <w:rFonts w:hint="eastAsia" w:ascii="仿宋_GB2312" w:hAnsi="仿宋_GB2312" w:eastAsia="仿宋_GB2312" w:cs="仿宋_GB2312"/>
          <w:b/>
          <w:bCs/>
        </w:rPr>
        <w:t>5.建构中小学科学教育体系研究</w:t>
      </w:r>
    </w:p>
    <w:p>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对我国中小学科学教育体系现状开展调研；（2）建立中小学生科学素质评估监测指标体系；（3）研究国外STEM教育发展经验；（4）从体制改革、学校布局、课程开发、场地建设、师资培养、评价标准等方面，系统设计与高等教育贯通的中小学科学教育体系建设路径；（5）研究前沿科学知识贯通科学教育内容的路径；（6）研究人工智能科学教师开发基本理论。</w:t>
      </w:r>
    </w:p>
    <w:p>
      <w:pPr>
        <w:ind w:firstLine="640"/>
        <w:rPr>
          <w:rFonts w:hint="eastAsia" w:ascii="仿宋_GB2312" w:hAnsi="仿宋_GB2312" w:eastAsia="仿宋_GB2312" w:cs="仿宋_GB2312"/>
          <w:b/>
          <w:bCs/>
        </w:rPr>
      </w:pPr>
    </w:p>
    <w:p>
      <w:pPr>
        <w:ind w:firstLine="640"/>
        <w:rPr>
          <w:rFonts w:hint="eastAsia" w:ascii="仿宋_GB2312" w:hAnsi="仿宋_GB2312" w:eastAsia="仿宋_GB2312" w:cs="仿宋_GB2312"/>
          <w:b/>
          <w:bCs/>
        </w:rPr>
      </w:pPr>
      <w:r>
        <w:rPr>
          <w:rFonts w:hint="eastAsia" w:ascii="仿宋_GB2312" w:hAnsi="仿宋_GB2312" w:eastAsia="仿宋_GB2312" w:cs="仿宋_GB2312"/>
          <w:b/>
          <w:bCs/>
        </w:rPr>
        <w:t>6.与人口变化相适应的基础教育资源统筹调配机制研究</w:t>
      </w:r>
    </w:p>
    <w:p>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结合生育率趋势和新型城镇化与乡村振兴两大战略，测算县域学龄人口变动情况；（2）研究部分省份强省会战略下学龄人口从县城到省城的流动问题；（3）研究建立学龄人口变化监测预警制度；（4）研判县域教育公共服务水平；（5）研究扩大县域高中阶段教育资源；（6）研究资源跨学段动态调整和余缺调配。</w:t>
      </w:r>
    </w:p>
    <w:p>
      <w:pPr>
        <w:ind w:firstLine="640"/>
        <w:rPr>
          <w:rFonts w:hint="eastAsia" w:ascii="仿宋_GB2312" w:hAnsi="仿宋_GB2312" w:eastAsia="仿宋_GB2312" w:cs="仿宋_GB2312"/>
          <w:b/>
          <w:bCs/>
        </w:rPr>
      </w:pPr>
    </w:p>
    <w:p>
      <w:pPr>
        <w:ind w:firstLine="640"/>
        <w:rPr>
          <w:rFonts w:hint="eastAsia" w:ascii="仿宋_GB2312" w:hAnsi="仿宋_GB2312" w:eastAsia="仿宋_GB2312" w:cs="仿宋_GB2312"/>
          <w:b/>
          <w:bCs/>
        </w:rPr>
      </w:pPr>
      <w:r>
        <w:rPr>
          <w:rFonts w:hint="eastAsia" w:ascii="仿宋_GB2312" w:hAnsi="仿宋_GB2312" w:eastAsia="仿宋_GB2312" w:cs="仿宋_GB2312"/>
          <w:b/>
          <w:bCs/>
        </w:rPr>
        <w:t>7.脱贫县过渡期教育发展评估研究</w:t>
      </w:r>
    </w:p>
    <w:p>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用政策分析工具对国家层面有关政策进行分析；（2）在脱贫县集中的省份选择不少于10个脱贫县开展调研；（3）研究脱贫县过渡期教育发展典型案例或模式；（4）建立脱贫县过渡期教育发展评估模型；（5）评估教育人才“组团式”帮扶效果；（6）提交评估总报告，建立过渡期结束后长期监测机制。</w:t>
      </w:r>
    </w:p>
    <w:p>
      <w:pPr>
        <w:ind w:firstLine="640"/>
        <w:rPr>
          <w:rFonts w:hint="eastAsia" w:ascii="仿宋_GB2312" w:hAnsi="仿宋_GB2312" w:eastAsia="仿宋_GB2312" w:cs="仿宋_GB2312"/>
          <w:b/>
          <w:bCs/>
        </w:rPr>
      </w:pPr>
    </w:p>
    <w:p>
      <w:pPr>
        <w:ind w:firstLine="640"/>
        <w:rPr>
          <w:rFonts w:hint="eastAsia" w:ascii="仿宋_GB2312" w:hAnsi="仿宋_GB2312" w:eastAsia="仿宋_GB2312" w:cs="仿宋_GB2312"/>
          <w:b/>
          <w:bCs/>
        </w:rPr>
      </w:pPr>
      <w:r>
        <w:rPr>
          <w:rFonts w:hint="eastAsia" w:ascii="仿宋_GB2312" w:hAnsi="仿宋_GB2312" w:eastAsia="仿宋_GB2312" w:cs="仿宋_GB2312"/>
          <w:b/>
          <w:bCs/>
        </w:rPr>
        <w:t>8.县域农村教育质量提升研究</w:t>
      </w:r>
    </w:p>
    <w:p>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对农村学生发展、农村教师发展、农村学校课程实施与信息技术应用等开展调研；（2）对乡镇寄宿制学校质量开展专门调研；（3）开展县域农村教育质量口述研究；（4）按照教育强国要求，研究新时代县域农村教育的功能定位，建立县域农村教育质量分析框架；（5）研究农村教育服务乡村振兴的路径；（6）研究县中振兴政策与路径。</w:t>
      </w:r>
    </w:p>
    <w:p>
      <w:pPr>
        <w:ind w:firstLine="640"/>
        <w:rPr>
          <w:rFonts w:hint="eastAsia" w:ascii="仿宋_GB2312" w:hAnsi="仿宋_GB2312" w:eastAsia="仿宋_GB2312" w:cs="仿宋_GB2312"/>
          <w:b/>
          <w:bCs/>
        </w:rPr>
      </w:pPr>
    </w:p>
    <w:p>
      <w:pPr>
        <w:ind w:firstLine="640"/>
        <w:rPr>
          <w:rFonts w:hint="eastAsia" w:ascii="仿宋_GB2312" w:hAnsi="仿宋_GB2312" w:eastAsia="仿宋_GB2312" w:cs="仿宋_GB2312"/>
          <w:b/>
          <w:bCs/>
        </w:rPr>
      </w:pPr>
      <w:r>
        <w:rPr>
          <w:rFonts w:hint="eastAsia" w:ascii="仿宋_GB2312" w:hAnsi="仿宋_GB2312" w:eastAsia="仿宋_GB2312" w:cs="仿宋_GB2312"/>
          <w:b/>
          <w:bCs/>
        </w:rPr>
        <w:t>9.分类推进高校改革发展研究</w:t>
      </w:r>
    </w:p>
    <w:p>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从现代大学发展规律出发，适应知识创造、技术创新和技能发展的不同需求，提出研究型、应用型、技能型不同类型高校的功能使命、内涵特征、发展定位；（2）研究学校基本办学定位与综合性、特色化基本方向之间的关系；（3）研究分类引导高校改革的政策举措；（4）提出理工农医、人文社科、艺术体育等高校差异化发展的实现路径；（5）研究不同类型高校的分类评价机制。</w:t>
      </w:r>
    </w:p>
    <w:p>
      <w:pPr>
        <w:ind w:firstLine="640"/>
        <w:rPr>
          <w:rFonts w:hint="eastAsia" w:ascii="仿宋_GB2312" w:hAnsi="仿宋_GB2312" w:eastAsia="仿宋_GB2312" w:cs="仿宋_GB2312"/>
          <w:b/>
          <w:bCs/>
        </w:rPr>
      </w:pPr>
    </w:p>
    <w:p>
      <w:pPr>
        <w:ind w:firstLine="640"/>
        <w:rPr>
          <w:rFonts w:hint="eastAsia" w:ascii="仿宋_GB2312" w:hAnsi="仿宋_GB2312" w:eastAsia="仿宋_GB2312" w:cs="仿宋_GB2312"/>
          <w:b/>
          <w:bCs/>
        </w:rPr>
      </w:pPr>
      <w:r>
        <w:rPr>
          <w:rFonts w:hint="eastAsia" w:ascii="仿宋_GB2312" w:hAnsi="仿宋_GB2312" w:eastAsia="仿宋_GB2312" w:cs="仿宋_GB2312"/>
          <w:b/>
          <w:bCs/>
        </w:rPr>
        <w:t>10.自主科学确定“双一流”标准研究</w:t>
      </w:r>
    </w:p>
    <w:p>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对第二轮“双一流”建设开展评估；（2）对高校科研评价体系现状开展调研；（3）把握“自主科学”的内涵，研究质量、特色、贡献导向的监测评价体系；（4）研究分类思想下不同类型高校的“双一流”标准；（5）研究自主标准与国际竞争的关系；（6）研究“双一流”高校提升国内经济社会贡献度的实现路径。</w:t>
      </w:r>
    </w:p>
    <w:p>
      <w:pPr>
        <w:ind w:firstLine="640"/>
        <w:rPr>
          <w:rFonts w:hint="eastAsia" w:ascii="仿宋_GB2312" w:hAnsi="仿宋_GB2312" w:eastAsia="仿宋_GB2312" w:cs="仿宋_GB2312"/>
          <w:b/>
          <w:bCs/>
        </w:rPr>
      </w:pPr>
    </w:p>
    <w:p>
      <w:pPr>
        <w:ind w:firstLine="640"/>
        <w:rPr>
          <w:rFonts w:hint="eastAsia" w:ascii="仿宋_GB2312" w:hAnsi="仿宋_GB2312" w:eastAsia="仿宋_GB2312" w:cs="仿宋_GB2312"/>
          <w:b/>
          <w:bCs/>
        </w:rPr>
      </w:pPr>
      <w:r>
        <w:rPr>
          <w:rFonts w:hint="eastAsia" w:ascii="仿宋_GB2312" w:hAnsi="仿宋_GB2312" w:eastAsia="仿宋_GB2312" w:cs="仿宋_GB2312"/>
          <w:b/>
          <w:bCs/>
        </w:rPr>
        <w:t>11.科技发展和国家战略需求牵引的学科设置调整研究</w:t>
      </w:r>
    </w:p>
    <w:p>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总结新中国学科设置调整历史经验；（2）挑选10个左右学科对其人才培养适配现状开展调研；（3）研究需求紧迫性与人才培养慢变量的关系；（4）跟踪学科设置之后的发展问题，研究新设学科的发展模式；（5）研究学科设置调整中文科的价值和发展空间。</w:t>
      </w:r>
    </w:p>
    <w:p>
      <w:pPr>
        <w:ind w:firstLine="640"/>
        <w:rPr>
          <w:rFonts w:hint="eastAsia" w:ascii="仿宋_GB2312" w:hAnsi="仿宋_GB2312" w:eastAsia="仿宋_GB2312" w:cs="仿宋_GB2312"/>
          <w:b/>
          <w:bCs/>
        </w:rPr>
      </w:pPr>
    </w:p>
    <w:p>
      <w:pPr>
        <w:ind w:firstLine="640"/>
        <w:rPr>
          <w:rFonts w:hint="eastAsia" w:ascii="仿宋_GB2312" w:hAnsi="仿宋_GB2312" w:eastAsia="仿宋_GB2312" w:cs="仿宋_GB2312"/>
          <w:b/>
          <w:bCs/>
        </w:rPr>
      </w:pPr>
      <w:r>
        <w:rPr>
          <w:rFonts w:hint="eastAsia" w:ascii="仿宋_GB2312" w:hAnsi="仿宋_GB2312" w:eastAsia="仿宋_GB2312" w:cs="仿宋_GB2312"/>
          <w:b/>
          <w:bCs/>
        </w:rPr>
        <w:t>12. 教育科技人才一体发展导向的交叉学科研究</w:t>
      </w:r>
    </w:p>
    <w:p>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（1）分析教育科技人才一体发展对学科建设特别是交叉学科建设的新要求；（2）开展交叉学科发展现状调研；（3）研究交叉学科总体布局；（4）研究交叉学科建设路径；（5）研究交叉学科发展评价。</w:t>
      </w:r>
    </w:p>
    <w:p>
      <w:pPr>
        <w:ind w:firstLine="640"/>
        <w:rPr>
          <w:rFonts w:hint="eastAsia" w:ascii="仿宋_GB2312" w:hAnsi="仿宋_GB2312" w:eastAsia="仿宋_GB2312" w:cs="仿宋_GB2312"/>
          <w:b/>
          <w:bCs/>
        </w:rPr>
      </w:pPr>
    </w:p>
    <w:p>
      <w:pPr>
        <w:ind w:firstLine="640"/>
        <w:rPr>
          <w:rFonts w:hint="eastAsia" w:ascii="仿宋_GB2312" w:hAnsi="仿宋_GB2312" w:eastAsia="仿宋_GB2312" w:cs="仿宋_GB2312"/>
          <w:b/>
          <w:bCs/>
        </w:rPr>
      </w:pPr>
      <w:r>
        <w:rPr>
          <w:rFonts w:hint="eastAsia" w:ascii="仿宋_GB2312" w:hAnsi="仿宋_GB2312" w:eastAsia="仿宋_GB2312" w:cs="仿宋_GB2312"/>
          <w:b/>
          <w:bCs/>
        </w:rPr>
        <w:t>13.拔尖创新人才贯通式培养研究</w:t>
      </w:r>
    </w:p>
    <w:p>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从拔尖创新人才培养角度研究教育公平理论内涵迭代升级；（2）对“四新”学科建设现状开展调研；（3）研究不同学段拔尖创新人才培养重点；（4）从拔尖创新人才培养角度研究基础教育学制改革；（5）对拔尖创新人才培养下基础教育生态开展调研；（6）研究战略急需和新兴领域国家拔尖创新人才培养新模式。</w:t>
      </w:r>
    </w:p>
    <w:p>
      <w:pPr>
        <w:ind w:firstLine="640"/>
        <w:rPr>
          <w:rFonts w:hint="eastAsia" w:ascii="仿宋_GB2312" w:hAnsi="仿宋_GB2312" w:eastAsia="仿宋_GB2312" w:cs="仿宋_GB2312"/>
          <w:b/>
          <w:bCs/>
        </w:rPr>
      </w:pPr>
    </w:p>
    <w:p>
      <w:pPr>
        <w:ind w:firstLine="640"/>
        <w:rPr>
          <w:rFonts w:hint="eastAsia" w:ascii="仿宋_GB2312" w:hAnsi="仿宋_GB2312" w:eastAsia="仿宋_GB2312" w:cs="仿宋_GB2312"/>
          <w:b/>
          <w:bCs/>
        </w:rPr>
      </w:pPr>
      <w:r>
        <w:rPr>
          <w:rFonts w:hint="eastAsia" w:ascii="仿宋_GB2312" w:hAnsi="仿宋_GB2312" w:eastAsia="仿宋_GB2312" w:cs="仿宋_GB2312"/>
          <w:b/>
          <w:bCs/>
        </w:rPr>
        <w:t>14.提升高等教育创新体系整体效能研究</w:t>
      </w:r>
    </w:p>
    <w:p>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对大学生思维能力开展调研；（2）跟踪研究高校国家战略科技力量重大原始创新典型案例；（3）研究高校科技成果转化效能评价指标体系；（4）开展四大湾区高等教育创新体系效能比较；（5）研究全球科技创新要素在高等教育体系之间的流动；（6）研究高校区域技术转移转化中心建设路径。</w:t>
      </w:r>
    </w:p>
    <w:p>
      <w:pPr>
        <w:ind w:firstLine="640"/>
        <w:rPr>
          <w:rFonts w:hint="eastAsia" w:ascii="仿宋_GB2312" w:hAnsi="仿宋_GB2312" w:eastAsia="仿宋_GB2312" w:cs="仿宋_GB2312"/>
          <w:b/>
          <w:bCs/>
        </w:rPr>
      </w:pPr>
    </w:p>
    <w:p>
      <w:pPr>
        <w:ind w:firstLine="640"/>
        <w:rPr>
          <w:rFonts w:hint="eastAsia" w:ascii="仿宋_GB2312" w:hAnsi="仿宋_GB2312" w:eastAsia="仿宋_GB2312" w:cs="仿宋_GB2312"/>
          <w:b/>
          <w:bCs/>
        </w:rPr>
      </w:pPr>
      <w:r>
        <w:rPr>
          <w:rFonts w:hint="eastAsia" w:ascii="仿宋_GB2312" w:hAnsi="仿宋_GB2312" w:eastAsia="仿宋_GB2312" w:cs="仿宋_GB2312"/>
          <w:b/>
          <w:bCs/>
        </w:rPr>
        <w:t>15.职业教育“新双高”改革研究</w:t>
      </w:r>
    </w:p>
    <w:p>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研究不同层次技能人才培养标准；（2）研究技能人才贯通培养不同模式；（3）研究高中阶段普职融通；（4）研究产教融合平台运行体制机制；（5）开展职业院校关键办学能力监测；（6）研究高技能人才集群培养改革。</w:t>
      </w:r>
    </w:p>
    <w:p>
      <w:pPr>
        <w:ind w:firstLine="640"/>
        <w:rPr>
          <w:rFonts w:hint="eastAsia" w:ascii="仿宋_GB2312" w:hAnsi="仿宋_GB2312" w:eastAsia="仿宋_GB2312" w:cs="仿宋_GB2312"/>
          <w:b/>
          <w:bCs/>
        </w:rPr>
      </w:pPr>
    </w:p>
    <w:p>
      <w:pPr>
        <w:ind w:firstLine="640"/>
        <w:rPr>
          <w:rFonts w:hint="eastAsia" w:ascii="仿宋_GB2312" w:hAnsi="仿宋_GB2312" w:eastAsia="仿宋_GB2312" w:cs="仿宋_GB2312"/>
          <w:b/>
          <w:bCs/>
        </w:rPr>
      </w:pPr>
      <w:r>
        <w:rPr>
          <w:rFonts w:hint="eastAsia" w:ascii="仿宋_GB2312" w:hAnsi="仿宋_GB2312" w:eastAsia="仿宋_GB2312" w:cs="仿宋_GB2312"/>
          <w:b/>
          <w:bCs/>
        </w:rPr>
        <w:t>16.</w:t>
      </w:r>
      <w:bookmarkStart w:id="1" w:name="OLE_LINK6"/>
      <w:r>
        <w:rPr>
          <w:rFonts w:hint="eastAsia" w:ascii="仿宋_GB2312" w:hAnsi="仿宋_GB2312" w:eastAsia="仿宋_GB2312" w:cs="仿宋_GB2312"/>
          <w:b/>
          <w:bCs/>
        </w:rPr>
        <w:t>基于人工智能技术的教学模式创新研究</w:t>
      </w:r>
      <w:bookmarkEnd w:id="1"/>
    </w:p>
    <w:p>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开展国家智慧教育公共服务平台应用情况调研；（2）研究智能时代学生多源信息整合与思维能力提升；（3）研究基于多模态数据的智能教材；（4）研究人机协同创新性教学模式，选择若干应用场景开展实践应用；（5）研究数字赋能大规模因材施教的有效途径。</w:t>
      </w:r>
    </w:p>
    <w:p>
      <w:pPr>
        <w:ind w:firstLine="640"/>
        <w:rPr>
          <w:rFonts w:hint="eastAsia" w:ascii="仿宋_GB2312" w:hAnsi="仿宋_GB2312" w:eastAsia="仿宋_GB2312" w:cs="仿宋_GB2312"/>
          <w:b/>
          <w:bCs/>
        </w:rPr>
      </w:pPr>
    </w:p>
    <w:p>
      <w:pPr>
        <w:ind w:firstLine="640"/>
        <w:rPr>
          <w:rFonts w:hint="eastAsia" w:ascii="仿宋_GB2312" w:hAnsi="仿宋_GB2312" w:eastAsia="仿宋_GB2312" w:cs="仿宋_GB2312"/>
          <w:b/>
          <w:bCs/>
        </w:rPr>
      </w:pPr>
      <w:r>
        <w:rPr>
          <w:rFonts w:hint="eastAsia" w:ascii="仿宋_GB2312" w:hAnsi="仿宋_GB2312" w:eastAsia="仿宋_GB2312" w:cs="仿宋_GB2312"/>
          <w:b/>
          <w:bCs/>
        </w:rPr>
        <w:t>17.</w:t>
      </w:r>
      <w:bookmarkStart w:id="2" w:name="OLE_LINK3"/>
      <w:r>
        <w:rPr>
          <w:rFonts w:hint="eastAsia" w:ascii="仿宋_GB2312" w:hAnsi="仿宋_GB2312" w:eastAsia="仿宋_GB2312" w:cs="仿宋_GB2312"/>
          <w:b/>
          <w:bCs/>
        </w:rPr>
        <w:t>智慧教育范式重构</w:t>
      </w:r>
      <w:bookmarkEnd w:id="2"/>
      <w:r>
        <w:rPr>
          <w:rFonts w:hint="eastAsia" w:ascii="仿宋_GB2312" w:hAnsi="仿宋_GB2312" w:eastAsia="仿宋_GB2312" w:cs="仿宋_GB2312"/>
          <w:b/>
          <w:bCs/>
        </w:rPr>
        <w:t>研究</w:t>
      </w:r>
    </w:p>
    <w:p>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（1）研究技术变革教育的机理；（2）</w:t>
      </w:r>
      <w:bookmarkStart w:id="3" w:name="OLE_LINK4"/>
      <w:r>
        <w:rPr>
          <w:rFonts w:hint="eastAsia" w:ascii="仿宋_GB2312" w:hAnsi="仿宋_GB2312" w:eastAsia="仿宋_GB2312" w:cs="仿宋_GB2312"/>
        </w:rPr>
        <w:t>研究智慧教育的理念、体系、范式、内容、治理等维度的新内涵新要求</w:t>
      </w:r>
      <w:bookmarkEnd w:id="3"/>
      <w:r>
        <w:rPr>
          <w:rFonts w:hint="eastAsia" w:ascii="仿宋_GB2312" w:hAnsi="仿宋_GB2312" w:eastAsia="仿宋_GB2312" w:cs="仿宋_GB2312"/>
        </w:rPr>
        <w:t>；（3）研究教育大模型建构的基本理论；（4）指导3个区域开展智慧教育实验，建构智慧教育新形态；（5）建构中国智慧教育的标识性概念和原创性理论。</w:t>
      </w:r>
    </w:p>
    <w:p>
      <w:pPr>
        <w:ind w:firstLine="640"/>
        <w:rPr>
          <w:rFonts w:hint="eastAsia" w:ascii="仿宋_GB2312" w:hAnsi="仿宋_GB2312" w:eastAsia="仿宋_GB2312" w:cs="仿宋_GB2312"/>
          <w:b/>
          <w:bCs/>
        </w:rPr>
      </w:pPr>
    </w:p>
    <w:p>
      <w:pPr>
        <w:ind w:firstLine="640"/>
        <w:rPr>
          <w:rFonts w:hint="eastAsia" w:ascii="仿宋_GB2312" w:hAnsi="仿宋_GB2312" w:eastAsia="仿宋_GB2312" w:cs="仿宋_GB2312"/>
          <w:b/>
          <w:bCs/>
        </w:rPr>
      </w:pPr>
      <w:r>
        <w:rPr>
          <w:rFonts w:hint="eastAsia" w:ascii="仿宋_GB2312" w:hAnsi="仿宋_GB2312" w:eastAsia="仿宋_GB2312" w:cs="仿宋_GB2312"/>
          <w:b/>
          <w:bCs/>
        </w:rPr>
        <w:t>18.边境地区教育综合改革研究</w:t>
      </w:r>
    </w:p>
    <w:p>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（1）开展国门学校现状调研；（2）研究边境地区学龄人口变动情况；（3）研究建立边疆民族地区民族语文教材选文库；（4）研究边境地区职业教育提质升级路径；（5）研究与周边国家教育交流合作示范案例。</w:t>
      </w:r>
    </w:p>
    <w:p>
      <w:pPr>
        <w:ind w:firstLine="640"/>
        <w:rPr>
          <w:rFonts w:hint="eastAsia" w:ascii="仿宋_GB2312" w:hAnsi="仿宋_GB2312" w:eastAsia="仿宋_GB2312" w:cs="仿宋_GB2312"/>
          <w:b/>
          <w:bCs/>
        </w:rPr>
      </w:pPr>
    </w:p>
    <w:p>
      <w:pPr>
        <w:ind w:firstLine="640"/>
        <w:rPr>
          <w:rFonts w:hint="eastAsia" w:ascii="仿宋_GB2312" w:hAnsi="仿宋_GB2312" w:eastAsia="仿宋_GB2312" w:cs="仿宋_GB2312"/>
          <w:b/>
          <w:bCs/>
        </w:rPr>
      </w:pPr>
      <w:r>
        <w:rPr>
          <w:rFonts w:hint="eastAsia" w:ascii="仿宋_GB2312" w:hAnsi="仿宋_GB2312" w:eastAsia="仿宋_GB2312" w:cs="仿宋_GB2312"/>
          <w:b/>
          <w:bCs/>
        </w:rPr>
        <w:t>19.学校</w:t>
      </w:r>
      <w:bookmarkStart w:id="4" w:name="OLE_LINK2"/>
      <w:r>
        <w:rPr>
          <w:rFonts w:hint="eastAsia" w:ascii="仿宋_GB2312" w:hAnsi="仿宋_GB2312" w:eastAsia="仿宋_GB2312" w:cs="仿宋_GB2312"/>
          <w:b/>
          <w:bCs/>
        </w:rPr>
        <w:t>铸牢中华民族共同体意识</w:t>
      </w:r>
      <w:bookmarkEnd w:id="4"/>
      <w:r>
        <w:rPr>
          <w:rFonts w:hint="eastAsia" w:ascii="仿宋_GB2312" w:hAnsi="仿宋_GB2312" w:eastAsia="仿宋_GB2312" w:cs="仿宋_GB2312"/>
          <w:b/>
          <w:bCs/>
        </w:rPr>
        <w:t>教育研究</w:t>
      </w:r>
    </w:p>
    <w:p>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对学校铸牢中华民族共同体意识教育的现状开展调研；（2）分学段分群体研制中华民族共同体意识测评指标体系，探索利用数字化手段，对师生中华民族认同进行画像；（3）从知识体系、课程教材、教学资源、教师队伍、社会实践等维度，研究铸牢中华民族共同体意识教育体系化融入大中小学思政课一体化的路径；（4）研究文明视野下中华民族共同体和人类命运共同体之间的关系</w:t>
      </w:r>
      <w:r>
        <w:rPr>
          <w:rFonts w:hint="eastAsia" w:ascii="仿宋_GB2312" w:hAnsi="仿宋_GB2312" w:eastAsia="仿宋_GB2312" w:cs="仿宋_GB2312"/>
          <w:lang w:eastAsia="zh-CN"/>
        </w:rPr>
        <w:t>，引导学生树立正确文明观</w:t>
      </w:r>
      <w:r>
        <w:rPr>
          <w:rFonts w:hint="eastAsia" w:ascii="仿宋_GB2312" w:hAnsi="仿宋_GB2312" w:eastAsia="仿宋_GB2312" w:cs="仿宋_GB2312"/>
        </w:rPr>
        <w:t>。</w:t>
      </w:r>
    </w:p>
    <w:p/>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668215"/>
      <w:docPartObj>
        <w:docPartGallery w:val="autotext"/>
      </w:docPartObj>
    </w:sdtPr>
    <w:sdtContent>
      <w:p>
        <w:pPr>
          <w:pStyle w:val="2"/>
          <w:ind w:firstLine="360"/>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2"/>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2043F"/>
    <w:rsid w:val="26CF118B"/>
    <w:rsid w:val="3062043F"/>
    <w:rsid w:val="4A97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napToGrid w:val="0"/>
      <w:spacing w:line="360" w:lineRule="auto"/>
      <w:ind w:firstLine="200" w:firstLineChars="200"/>
      <w:jc w:val="both"/>
    </w:pPr>
    <w:rPr>
      <w:rFonts w:eastAsia="仿宋" w:asciiTheme="minorHAnsi" w:hAnsiTheme="minorHAnsi" w:cstheme="minorBidi"/>
      <w:kern w:val="2"/>
      <w:sz w:val="32"/>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pacing w:line="240" w:lineRule="auto"/>
      <w:jc w:val="left"/>
    </w:pPr>
    <w:rPr>
      <w:sz w:val="18"/>
      <w:szCs w:val="18"/>
    </w:rPr>
  </w:style>
  <w:style w:type="paragraph" w:styleId="3">
    <w:name w:val="header"/>
    <w:basedOn w:val="1"/>
    <w:autoRedefine/>
    <w:unhideWhenUsed/>
    <w:qFormat/>
    <w:uiPriority w:val="99"/>
    <w:pPr>
      <w:tabs>
        <w:tab w:val="center" w:pos="4153"/>
        <w:tab w:val="right" w:pos="8306"/>
      </w:tabs>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3119</Words>
  <Characters>3163</Characters>
  <Lines>0</Lines>
  <Paragraphs>0</Paragraphs>
  <TotalTime>0</TotalTime>
  <ScaleCrop>false</ScaleCrop>
  <LinksUpToDate>false</LinksUpToDate>
  <CharactersWithSpaces>3164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2025-04-23T06:35:00Z</dcterms:created>
  <dc:creator>初见</dc:creator>
  <cp:lastModifiedBy>曹守敏</cp:lastModifiedBy>
  <dcterms:modified xsi:type="dcterms:W3CDTF">2025-04-24T05:34:37Z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6F4C295E4A0E47F395A7D2B30905FD8F_13</vt:lpwstr>
  </property>
  <property fmtid="{D5CDD505-2E9C-101B-9397-08002B2CF9AE}" pid="4" name="KSOTemplateDocerSaveRecord">
    <vt:lpwstr>eyJoZGlkIjoiYWEwZDI0ODAxODY5MzM4ZjBlMzc2OGZkZTYzMzNhMjEiLCJ1c2VySWQiOiIxMTYxNDkwMzg5In0=</vt:lpwstr>
  </property>
</Properties>
</file>