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3F" w:rsidRDefault="00BC5F3F" w:rsidP="00BC5F3F">
      <w:pPr>
        <w:spacing w:after="0"/>
        <w:jc w:val="center"/>
        <w:rPr>
          <w:rFonts w:ascii="宋体" w:hAnsi="宋体" w:hint="eastAsia"/>
          <w:b/>
          <w:sz w:val="32"/>
          <w:szCs w:val="32"/>
        </w:rPr>
      </w:pPr>
      <w:r w:rsidRPr="002566DB">
        <w:rPr>
          <w:rFonts w:ascii="宋体" w:hAnsi="宋体" w:hint="eastAsia"/>
          <w:b/>
          <w:sz w:val="32"/>
          <w:szCs w:val="32"/>
        </w:rPr>
        <w:t>国务院学位委员会</w:t>
      </w:r>
      <w:r w:rsidRPr="00406783">
        <w:rPr>
          <w:rFonts w:ascii="宋体" w:hAnsi="宋体"/>
          <w:b/>
          <w:sz w:val="32"/>
          <w:szCs w:val="32"/>
        </w:rPr>
        <w:t>新增硕士学位授予单位申请基本条件</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一、已列入省级学位委员会新增硕士学位授予单位立项建设的普通高等学校。</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二、原则上应是已获得学士学位授权</w:t>
      </w:r>
      <w:r w:rsidRPr="00406783">
        <w:rPr>
          <w:rFonts w:ascii="宋体" w:hAnsi="宋体"/>
          <w:sz w:val="32"/>
          <w:szCs w:val="32"/>
        </w:rPr>
        <w:t xml:space="preserve"> 8 </w:t>
      </w:r>
      <w:r w:rsidRPr="00406783">
        <w:rPr>
          <w:rFonts w:ascii="宋体" w:hAnsi="宋体"/>
          <w:sz w:val="32"/>
          <w:szCs w:val="32"/>
        </w:rPr>
        <w:t>年以上。拥有国家科研平台、承担国家科研任务、具有国内高水平师资队伍的普通高等学校，可不受年限限制直接申请。</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三、坚持社会主义办学方向，全面落实立德树人根本任务，办学定位清晰、目标明确、特色鲜明，党建和思想政治工作落实到位。拟开展硕士生教育的学科或专业学位类别，必须是服务本地区经济社会发展亟需的应用型学科或专业学位类别。</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四、应有师德高尚、业务水平优良的师资队伍；专任教师中具有博士学位教师的比例不低于</w:t>
      </w:r>
      <w:r w:rsidRPr="00406783">
        <w:rPr>
          <w:rFonts w:ascii="宋体" w:hAnsi="宋体"/>
          <w:sz w:val="32"/>
          <w:szCs w:val="32"/>
        </w:rPr>
        <w:t xml:space="preserve"> 25%</w:t>
      </w:r>
      <w:r w:rsidRPr="00406783">
        <w:rPr>
          <w:rFonts w:ascii="宋体" w:hAnsi="宋体"/>
          <w:sz w:val="32"/>
          <w:szCs w:val="32"/>
        </w:rPr>
        <w:t>（艺术体育类高校的比例不低于</w:t>
      </w:r>
      <w:r w:rsidRPr="00406783">
        <w:rPr>
          <w:rFonts w:ascii="宋体" w:hAnsi="宋体"/>
          <w:sz w:val="32"/>
          <w:szCs w:val="32"/>
        </w:rPr>
        <w:t xml:space="preserve"> 5%</w:t>
      </w:r>
      <w:r w:rsidRPr="00406783">
        <w:rPr>
          <w:rFonts w:ascii="宋体" w:hAnsi="宋体"/>
          <w:sz w:val="32"/>
          <w:szCs w:val="32"/>
        </w:rPr>
        <w:t>），具有硕士以上学位教师的比例不低于</w:t>
      </w:r>
      <w:r w:rsidRPr="00406783">
        <w:rPr>
          <w:rFonts w:ascii="宋体" w:hAnsi="宋体"/>
          <w:sz w:val="32"/>
          <w:szCs w:val="32"/>
        </w:rPr>
        <w:t>80%</w:t>
      </w:r>
      <w:r w:rsidRPr="00406783">
        <w:rPr>
          <w:rFonts w:ascii="宋体" w:hAnsi="宋体"/>
          <w:sz w:val="32"/>
          <w:szCs w:val="32"/>
        </w:rPr>
        <w:t>，年龄结构合理，全日制在校学生人数与专任教师的比例不超过</w:t>
      </w:r>
      <w:r w:rsidRPr="00406783">
        <w:rPr>
          <w:rFonts w:ascii="宋体" w:hAnsi="宋体"/>
          <w:sz w:val="32"/>
          <w:szCs w:val="32"/>
        </w:rPr>
        <w:t xml:space="preserve"> 17:1</w:t>
      </w:r>
      <w:r w:rsidRPr="00406783">
        <w:rPr>
          <w:rFonts w:ascii="宋体" w:hAnsi="宋体"/>
          <w:sz w:val="32"/>
          <w:szCs w:val="32"/>
        </w:rPr>
        <w:t>（艺术体育类高校的比例不超过</w:t>
      </w:r>
      <w:r w:rsidRPr="00406783">
        <w:rPr>
          <w:rFonts w:ascii="宋体" w:hAnsi="宋体"/>
          <w:sz w:val="32"/>
          <w:szCs w:val="32"/>
        </w:rPr>
        <w:t xml:space="preserve"> 15:1</w:t>
      </w:r>
      <w:r w:rsidRPr="00406783">
        <w:rPr>
          <w:rFonts w:ascii="宋体" w:hAnsi="宋体"/>
          <w:sz w:val="32"/>
          <w:szCs w:val="32"/>
        </w:rPr>
        <w:t>），部分教师担任过硕士生导师，拟聘导师中应有一定比例的双师型教师及行业、企业专家。</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五、现有本科生培养质量高，社会声誉良好。近</w:t>
      </w:r>
      <w:r w:rsidRPr="00406783">
        <w:rPr>
          <w:rFonts w:ascii="宋体" w:hAnsi="宋体"/>
          <w:sz w:val="32"/>
          <w:szCs w:val="32"/>
        </w:rPr>
        <w:t xml:space="preserve"> 5 </w:t>
      </w:r>
      <w:r w:rsidRPr="00406783">
        <w:rPr>
          <w:rFonts w:ascii="宋体" w:hAnsi="宋体"/>
          <w:sz w:val="32"/>
          <w:szCs w:val="32"/>
        </w:rPr>
        <w:t>年内一般应获得多项省部级及以上教学奖励、精品课程、卓越计划和通过专业认证，无重大学术不端事件。已制定科学完整的硕士研究生培养方案，能够按方案开设高水平硕士生课程。</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六、应具有一定的科学研究基础，目前承担多项省部级及以上科研项目，以及若干产教结合的横向科研项目。</w:t>
      </w:r>
      <w:r w:rsidRPr="00406783">
        <w:rPr>
          <w:rFonts w:ascii="宋体" w:hAnsi="宋体"/>
          <w:sz w:val="32"/>
          <w:szCs w:val="32"/>
        </w:rPr>
        <w:lastRenderedPageBreak/>
        <w:t>近</w:t>
      </w:r>
      <w:r w:rsidRPr="00406783">
        <w:rPr>
          <w:rFonts w:ascii="宋体" w:hAnsi="宋体"/>
          <w:sz w:val="32"/>
          <w:szCs w:val="32"/>
        </w:rPr>
        <w:t xml:space="preserve"> 5</w:t>
      </w:r>
      <w:r w:rsidRPr="00406783">
        <w:rPr>
          <w:rFonts w:ascii="宋体" w:hAnsi="宋体"/>
          <w:sz w:val="32"/>
          <w:szCs w:val="32"/>
        </w:rPr>
        <w:t>年，师均年科研经费不低于</w:t>
      </w:r>
      <w:r w:rsidRPr="00406783">
        <w:rPr>
          <w:rFonts w:ascii="宋体" w:hAnsi="宋体"/>
          <w:sz w:val="32"/>
          <w:szCs w:val="32"/>
        </w:rPr>
        <w:t xml:space="preserve"> 4 </w:t>
      </w:r>
      <w:r w:rsidRPr="00406783">
        <w:rPr>
          <w:rFonts w:ascii="宋体" w:hAnsi="宋体"/>
          <w:sz w:val="32"/>
          <w:szCs w:val="32"/>
        </w:rPr>
        <w:t>万元（文科单科性高校和艺术体育类高校不低于</w:t>
      </w:r>
      <w:r w:rsidRPr="00406783">
        <w:rPr>
          <w:rFonts w:ascii="宋体" w:hAnsi="宋体"/>
          <w:sz w:val="32"/>
          <w:szCs w:val="32"/>
        </w:rPr>
        <w:t xml:space="preserve"> 1 </w:t>
      </w:r>
      <w:r w:rsidRPr="00406783">
        <w:rPr>
          <w:rFonts w:ascii="宋体" w:hAnsi="宋体"/>
          <w:sz w:val="32"/>
          <w:szCs w:val="32"/>
        </w:rPr>
        <w:t>万元）。一般应获得多项省部级及以上科研奖励，有多项科研成果直接服务经济社会发展，取得较好的经济社会效益。</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七、具有支撑硕士研究生培养所必需的实验室、基地等教学实践平台；拥有充足的教学科研仪器设备、图书文献资料；国内学术交流与合作活跃，与行业、企业等有实质性合作成果；学校生均经费收入不低于</w:t>
      </w:r>
      <w:r w:rsidRPr="00406783">
        <w:rPr>
          <w:rFonts w:ascii="宋体" w:hAnsi="宋体"/>
          <w:sz w:val="32"/>
          <w:szCs w:val="32"/>
        </w:rPr>
        <w:t xml:space="preserve"> 3 </w:t>
      </w:r>
      <w:r w:rsidRPr="00406783">
        <w:rPr>
          <w:rFonts w:ascii="宋体" w:hAnsi="宋体"/>
          <w:sz w:val="32"/>
          <w:szCs w:val="32"/>
        </w:rPr>
        <w:t>万元（艺术体育类高校不低于</w:t>
      </w:r>
      <w:r w:rsidRPr="00406783">
        <w:rPr>
          <w:rFonts w:ascii="宋体" w:hAnsi="宋体"/>
          <w:sz w:val="32"/>
          <w:szCs w:val="32"/>
        </w:rPr>
        <w:t xml:space="preserve"> 4 </w:t>
      </w:r>
      <w:r w:rsidRPr="00406783">
        <w:rPr>
          <w:rFonts w:ascii="宋体" w:hAnsi="宋体"/>
          <w:sz w:val="32"/>
          <w:szCs w:val="32"/>
        </w:rPr>
        <w:t>万元）。</w:t>
      </w: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八、学校研究生教育管理机构健全，专职管理人员配置合理，规章制度完善，执行情况较好。有完善的研究生奖助体系，公共服务体系完备。</w:t>
      </w:r>
    </w:p>
    <w:p w:rsidR="00BC5F3F" w:rsidRPr="00406783" w:rsidRDefault="00BC5F3F" w:rsidP="00BC5F3F">
      <w:pPr>
        <w:spacing w:after="0"/>
        <w:ind w:firstLineChars="200" w:firstLine="640"/>
        <w:rPr>
          <w:rFonts w:ascii="宋体" w:hAnsi="宋体"/>
          <w:sz w:val="32"/>
          <w:szCs w:val="32"/>
        </w:rPr>
      </w:pPr>
    </w:p>
    <w:p w:rsidR="00BC5F3F" w:rsidRPr="00406783" w:rsidRDefault="00BC5F3F" w:rsidP="00BC5F3F">
      <w:pPr>
        <w:spacing w:after="0"/>
        <w:ind w:firstLineChars="200" w:firstLine="640"/>
        <w:rPr>
          <w:rFonts w:ascii="宋体" w:hAnsi="宋体"/>
          <w:sz w:val="32"/>
          <w:szCs w:val="32"/>
        </w:rPr>
      </w:pPr>
      <w:r w:rsidRPr="00406783">
        <w:rPr>
          <w:rFonts w:ascii="宋体" w:hAnsi="宋体"/>
          <w:sz w:val="32"/>
          <w:szCs w:val="32"/>
        </w:rPr>
        <w:t>注：（</w:t>
      </w:r>
      <w:r w:rsidRPr="00406783">
        <w:rPr>
          <w:rFonts w:ascii="宋体" w:hAnsi="宋体"/>
          <w:sz w:val="32"/>
          <w:szCs w:val="32"/>
        </w:rPr>
        <w:t>1</w:t>
      </w:r>
      <w:r w:rsidRPr="00406783">
        <w:rPr>
          <w:rFonts w:ascii="宋体" w:hAnsi="宋体"/>
          <w:sz w:val="32"/>
          <w:szCs w:val="32"/>
        </w:rPr>
        <w:t>）师均年科研经费</w:t>
      </w:r>
      <w:r w:rsidRPr="00406783">
        <w:rPr>
          <w:rFonts w:ascii="宋体" w:hAnsi="宋体"/>
          <w:sz w:val="32"/>
          <w:szCs w:val="32"/>
        </w:rPr>
        <w:t>=</w:t>
      </w:r>
      <w:r w:rsidRPr="00406783">
        <w:rPr>
          <w:rFonts w:ascii="宋体" w:hAnsi="宋体"/>
          <w:sz w:val="32"/>
          <w:szCs w:val="32"/>
        </w:rPr>
        <w:t>当年学校实际到账科研经费总数</w:t>
      </w:r>
      <w:r w:rsidRPr="00406783">
        <w:rPr>
          <w:rFonts w:ascii="宋体" w:hAnsi="宋体"/>
          <w:sz w:val="32"/>
          <w:szCs w:val="32"/>
        </w:rPr>
        <w:t>÷</w:t>
      </w:r>
      <w:r w:rsidRPr="00406783">
        <w:rPr>
          <w:rFonts w:ascii="宋体" w:hAnsi="宋体"/>
          <w:sz w:val="32"/>
          <w:szCs w:val="32"/>
        </w:rPr>
        <w:t>当年专任教师数。</w:t>
      </w:r>
    </w:p>
    <w:p w:rsidR="00BC5F3F" w:rsidRPr="00406783" w:rsidRDefault="00BC5F3F" w:rsidP="00BC5F3F">
      <w:pPr>
        <w:spacing w:after="0"/>
        <w:ind w:firstLineChars="350" w:firstLine="1120"/>
        <w:rPr>
          <w:rFonts w:ascii="宋体" w:hAnsi="宋体"/>
          <w:sz w:val="32"/>
          <w:szCs w:val="32"/>
        </w:rPr>
      </w:pPr>
      <w:r w:rsidRPr="00406783">
        <w:rPr>
          <w:rFonts w:ascii="宋体" w:hAnsi="宋体"/>
          <w:sz w:val="32"/>
          <w:szCs w:val="32"/>
        </w:rPr>
        <w:t>（</w:t>
      </w:r>
      <w:r w:rsidRPr="00406783">
        <w:rPr>
          <w:rFonts w:ascii="宋体" w:hAnsi="宋体"/>
          <w:sz w:val="32"/>
          <w:szCs w:val="32"/>
        </w:rPr>
        <w:t>2</w:t>
      </w:r>
      <w:r w:rsidRPr="00406783">
        <w:rPr>
          <w:rFonts w:ascii="宋体" w:hAnsi="宋体"/>
          <w:sz w:val="32"/>
          <w:szCs w:val="32"/>
        </w:rPr>
        <w:t>）生均经费收入</w:t>
      </w:r>
      <w:r w:rsidRPr="00406783">
        <w:rPr>
          <w:rFonts w:ascii="宋体" w:hAnsi="宋体"/>
          <w:sz w:val="32"/>
          <w:szCs w:val="32"/>
        </w:rPr>
        <w:t>=</w:t>
      </w:r>
      <w:r w:rsidRPr="00406783">
        <w:rPr>
          <w:rFonts w:ascii="宋体" w:hAnsi="宋体"/>
          <w:sz w:val="32"/>
          <w:szCs w:val="32"/>
        </w:rPr>
        <w:t>当年全校经费总收入</w:t>
      </w:r>
      <w:r w:rsidRPr="00406783">
        <w:rPr>
          <w:rFonts w:ascii="宋体" w:hAnsi="宋体"/>
          <w:sz w:val="32"/>
          <w:szCs w:val="32"/>
        </w:rPr>
        <w:t>÷</w:t>
      </w:r>
      <w:r w:rsidRPr="00406783">
        <w:rPr>
          <w:rFonts w:ascii="宋体" w:hAnsi="宋体"/>
          <w:sz w:val="32"/>
          <w:szCs w:val="32"/>
        </w:rPr>
        <w:t>全日制在校生数。</w:t>
      </w:r>
    </w:p>
    <w:p w:rsidR="00BC5F3F" w:rsidRPr="00406783" w:rsidRDefault="00BC5F3F" w:rsidP="00BC5F3F">
      <w:pPr>
        <w:spacing w:after="0"/>
        <w:ind w:firstLineChars="350" w:firstLine="1120"/>
        <w:rPr>
          <w:rFonts w:ascii="宋体" w:hAnsi="宋体"/>
          <w:sz w:val="32"/>
          <w:szCs w:val="32"/>
        </w:rPr>
      </w:pPr>
      <w:r w:rsidRPr="00406783">
        <w:rPr>
          <w:rFonts w:ascii="宋体" w:hAnsi="宋体"/>
          <w:sz w:val="32"/>
          <w:szCs w:val="32"/>
        </w:rPr>
        <w:t>（</w:t>
      </w:r>
      <w:r w:rsidRPr="00406783">
        <w:rPr>
          <w:rFonts w:ascii="宋体" w:hAnsi="宋体"/>
          <w:sz w:val="32"/>
          <w:szCs w:val="32"/>
        </w:rPr>
        <w:t>3</w:t>
      </w:r>
      <w:r w:rsidRPr="00406783">
        <w:rPr>
          <w:rFonts w:ascii="宋体" w:hAnsi="宋体"/>
          <w:sz w:val="32"/>
          <w:szCs w:val="32"/>
        </w:rPr>
        <w:t>）文科单科性高校指外语、财经、政法类高校。</w:t>
      </w:r>
    </w:p>
    <w:p w:rsidR="004358AB" w:rsidRDefault="004358AB" w:rsidP="00BC5F3F">
      <w:pPr>
        <w:spacing w:after="0"/>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E0" w:rsidRDefault="00042FE0" w:rsidP="00BC5F3F">
      <w:pPr>
        <w:spacing w:after="0"/>
      </w:pPr>
      <w:r>
        <w:separator/>
      </w:r>
    </w:p>
  </w:endnote>
  <w:endnote w:type="continuationSeparator" w:id="0">
    <w:p w:rsidR="00042FE0" w:rsidRDefault="00042FE0" w:rsidP="00BC5F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E0" w:rsidRDefault="00042FE0" w:rsidP="00BC5F3F">
      <w:pPr>
        <w:spacing w:after="0"/>
      </w:pPr>
      <w:r>
        <w:separator/>
      </w:r>
    </w:p>
  </w:footnote>
  <w:footnote w:type="continuationSeparator" w:id="0">
    <w:p w:rsidR="00042FE0" w:rsidRDefault="00042FE0" w:rsidP="00BC5F3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42FE0"/>
    <w:rsid w:val="00323B43"/>
    <w:rsid w:val="003D37D8"/>
    <w:rsid w:val="00426133"/>
    <w:rsid w:val="004358AB"/>
    <w:rsid w:val="008B7726"/>
    <w:rsid w:val="00A850AB"/>
    <w:rsid w:val="00BC5F3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F3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C5F3F"/>
    <w:rPr>
      <w:rFonts w:ascii="Tahoma" w:hAnsi="Tahoma"/>
      <w:sz w:val="18"/>
      <w:szCs w:val="18"/>
    </w:rPr>
  </w:style>
  <w:style w:type="paragraph" w:styleId="a4">
    <w:name w:val="footer"/>
    <w:basedOn w:val="a"/>
    <w:link w:val="Char0"/>
    <w:uiPriority w:val="99"/>
    <w:semiHidden/>
    <w:unhideWhenUsed/>
    <w:rsid w:val="00BC5F3F"/>
    <w:pPr>
      <w:tabs>
        <w:tab w:val="center" w:pos="4153"/>
        <w:tab w:val="right" w:pos="8306"/>
      </w:tabs>
    </w:pPr>
    <w:rPr>
      <w:sz w:val="18"/>
      <w:szCs w:val="18"/>
    </w:rPr>
  </w:style>
  <w:style w:type="character" w:customStyle="1" w:styleId="Char0">
    <w:name w:val="页脚 Char"/>
    <w:basedOn w:val="a0"/>
    <w:link w:val="a4"/>
    <w:uiPriority w:val="99"/>
    <w:semiHidden/>
    <w:rsid w:val="00BC5F3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2019-12-03T03:20:00Z</dcterms:modified>
</cp:coreProperties>
</file>