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93" w:rsidRPr="001A55F1" w:rsidRDefault="00E20093" w:rsidP="00E20093">
      <w:pPr>
        <w:spacing w:line="580" w:lineRule="exact"/>
        <w:rPr>
          <w:rFonts w:ascii="仿宋_GB2312" w:eastAsia="仿宋_GB2312" w:hint="eastAsia"/>
          <w:sz w:val="32"/>
          <w:szCs w:val="32"/>
        </w:rPr>
      </w:pPr>
      <w:r w:rsidRPr="001A55F1">
        <w:rPr>
          <w:rFonts w:ascii="仿宋_GB2312" w:eastAsia="仿宋_GB2312" w:hint="eastAsia"/>
          <w:sz w:val="32"/>
          <w:szCs w:val="32"/>
        </w:rPr>
        <w:t>附件1：</w:t>
      </w:r>
      <w:bookmarkStart w:id="0" w:name="_GoBack"/>
      <w:bookmarkEnd w:id="0"/>
    </w:p>
    <w:p w:rsidR="00C80932" w:rsidRDefault="003E5F41">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山东能源集团有限公司</w:t>
      </w:r>
    </w:p>
    <w:p w:rsidR="00811410" w:rsidRDefault="00811410" w:rsidP="00811410">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科技创新开放基金项目管理办法（试行）</w:t>
      </w:r>
    </w:p>
    <w:p w:rsidR="00811410" w:rsidRDefault="00811410" w:rsidP="00811410">
      <w:pPr>
        <w:spacing w:line="580" w:lineRule="exact"/>
        <w:rPr>
          <w:rFonts w:ascii="方正小标宋简体" w:eastAsia="方正小标宋简体"/>
          <w:sz w:val="36"/>
          <w:szCs w:val="36"/>
        </w:rPr>
      </w:pPr>
    </w:p>
    <w:p w:rsidR="00811410" w:rsidRDefault="00811410" w:rsidP="00811410">
      <w:pPr>
        <w:shd w:val="clear" w:color="auto" w:fill="FFFFFF"/>
        <w:adjustRightInd w:val="0"/>
        <w:snapToGrid w:val="0"/>
        <w:spacing w:line="58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第一章  总  则</w:t>
      </w:r>
    </w:p>
    <w:p w:rsidR="00811410" w:rsidRDefault="00811410" w:rsidP="00811410">
      <w:pPr>
        <w:shd w:val="clear" w:color="auto" w:fill="FFFFFF"/>
        <w:adjustRightInd w:val="0"/>
        <w:snapToGrid w:val="0"/>
        <w:spacing w:line="580" w:lineRule="exact"/>
        <w:jc w:val="center"/>
        <w:rPr>
          <w:rFonts w:ascii="黑体" w:eastAsia="黑体" w:hAnsi="黑体" w:cs="宋体"/>
          <w:bCs/>
          <w:kern w:val="0"/>
          <w:sz w:val="32"/>
          <w:szCs w:val="32"/>
        </w:rPr>
      </w:pPr>
    </w:p>
    <w:p w:rsidR="00811410" w:rsidRDefault="00811410" w:rsidP="00811410">
      <w:pPr>
        <w:spacing w:line="580" w:lineRule="exact"/>
        <w:ind w:firstLineChars="200" w:firstLine="640"/>
        <w:rPr>
          <w:rFonts w:ascii="仿宋_GB2312" w:eastAsia="仿宋_GB2312" w:hAnsi="宋体"/>
          <w:sz w:val="32"/>
        </w:rPr>
      </w:pPr>
      <w:r>
        <w:rPr>
          <w:rFonts w:ascii="黑体" w:eastAsia="黑体" w:hAnsi="黑体" w:cs="宋体" w:hint="eastAsia"/>
          <w:bCs/>
          <w:kern w:val="0"/>
          <w:sz w:val="32"/>
          <w:szCs w:val="32"/>
        </w:rPr>
        <w:t>第一条</w:t>
      </w:r>
      <w:r>
        <w:rPr>
          <w:rFonts w:ascii="仿宋_GB2312" w:eastAsia="仿宋_GB2312" w:hAnsi="Calibri"/>
          <w:sz w:val="32"/>
        </w:rPr>
        <w:t xml:space="preserve"> </w:t>
      </w:r>
      <w:r>
        <w:rPr>
          <w:rFonts w:ascii="仿宋_GB2312" w:eastAsia="仿宋_GB2312" w:hAnsi="宋体" w:hint="eastAsia"/>
          <w:sz w:val="32"/>
        </w:rPr>
        <w:t>为推动高端研发平台</w:t>
      </w:r>
      <w:r>
        <w:rPr>
          <w:rFonts w:ascii="仿宋_GB2312" w:eastAsia="仿宋_GB2312" w:hAnsi="宋体"/>
          <w:sz w:val="32"/>
        </w:rPr>
        <w:t>应用基础研究和</w:t>
      </w:r>
      <w:r>
        <w:rPr>
          <w:rFonts w:ascii="仿宋_GB2312" w:eastAsia="仿宋_GB2312" w:hAnsi="宋体" w:hint="eastAsia"/>
          <w:sz w:val="32"/>
        </w:rPr>
        <w:t>关键技术突破，紧密结合国家重大需求，充分发挥研发平台引才聚智作用，吸引全社会科研力量联合创新、共破难题，提升平台</w:t>
      </w:r>
      <w:r>
        <w:rPr>
          <w:rFonts w:ascii="仿宋_GB2312" w:eastAsia="仿宋_GB2312" w:hAnsi="Calibri" w:hint="eastAsia"/>
          <w:sz w:val="32"/>
        </w:rPr>
        <w:t>原始创新能力，特设立</w:t>
      </w:r>
      <w:r>
        <w:rPr>
          <w:rFonts w:ascii="仿宋_GB2312" w:eastAsia="仿宋_GB2312" w:hAnsi="宋体" w:hint="eastAsia"/>
          <w:sz w:val="32"/>
        </w:rPr>
        <w:t>山东能源集团有限公司科技创新开放基金（以下简称开放基金），根据上级有关政策精神，结合集团发展实际，制定本办法。</w:t>
      </w:r>
    </w:p>
    <w:p w:rsidR="00811410" w:rsidRDefault="00811410" w:rsidP="00811410">
      <w:pPr>
        <w:spacing w:line="580" w:lineRule="exact"/>
        <w:ind w:firstLineChars="200" w:firstLine="640"/>
        <w:rPr>
          <w:rFonts w:ascii="仿宋_GB2312" w:eastAsia="仿宋_GB2312" w:hAnsi="Calibri"/>
          <w:sz w:val="32"/>
        </w:rPr>
      </w:pPr>
      <w:r>
        <w:rPr>
          <w:rFonts w:ascii="黑体" w:eastAsia="黑体" w:hAnsi="黑体" w:hint="eastAsia"/>
          <w:bCs/>
          <w:sz w:val="32"/>
          <w:szCs w:val="32"/>
        </w:rPr>
        <w:t>第二条</w:t>
      </w:r>
      <w:r>
        <w:rPr>
          <w:rFonts w:ascii="仿宋_GB2312" w:eastAsia="仿宋_GB2312" w:hAnsi="Calibri" w:hint="eastAsia"/>
          <w:sz w:val="32"/>
        </w:rPr>
        <w:t xml:space="preserve"> 本办法所称高端研发平台是指经国家相关部委认定或批准，依托能源集团及权属单位建设的高层次研发平台。</w:t>
      </w:r>
    </w:p>
    <w:p w:rsidR="00811410" w:rsidRDefault="00811410" w:rsidP="00811410">
      <w:pPr>
        <w:spacing w:line="580" w:lineRule="exact"/>
        <w:ind w:firstLineChars="200" w:firstLine="640"/>
        <w:rPr>
          <w:rFonts w:ascii="仿宋_GB2312" w:eastAsia="仿宋_GB2312" w:hAnsi="Calibri"/>
          <w:sz w:val="32"/>
        </w:rPr>
      </w:pPr>
      <w:r>
        <w:rPr>
          <w:rFonts w:ascii="仿宋_GB2312" w:eastAsia="仿宋_GB2312" w:hAnsi="Calibri" w:hint="eastAsia"/>
          <w:sz w:val="32"/>
        </w:rPr>
        <w:t>开放基金初期主要面向</w:t>
      </w:r>
      <w:r>
        <w:rPr>
          <w:rFonts w:ascii="仿宋_GB2312" w:eastAsia="仿宋_GB2312" w:hint="eastAsia"/>
          <w:sz w:val="32"/>
          <w:szCs w:val="32"/>
        </w:rPr>
        <w:t>煤液化气化及高效低碳利用全国重点实验室、大型煤气化及煤基新材料国家工程研究中心、煤矿充填开采国家工程研究中心、</w:t>
      </w:r>
      <w:r>
        <w:rPr>
          <w:rFonts w:ascii="仿宋_GB2312" w:eastAsia="仿宋_GB2312"/>
          <w:sz w:val="32"/>
          <w:szCs w:val="32"/>
        </w:rPr>
        <w:t>煤矿冲击地压防治技术与装备国家矿山安全监察局重点实验室</w:t>
      </w:r>
      <w:r>
        <w:rPr>
          <w:rFonts w:ascii="仿宋_GB2312" w:eastAsia="仿宋_GB2312" w:hint="eastAsia"/>
          <w:sz w:val="32"/>
          <w:szCs w:val="32"/>
        </w:rPr>
        <w:t>四个研发平台，按照不同研究领域，相应设立四支开放基金。后期根据新建高端研发平台情况随时扩充。</w:t>
      </w:r>
    </w:p>
    <w:p w:rsidR="00811410" w:rsidRDefault="00811410" w:rsidP="00811410">
      <w:pPr>
        <w:spacing w:line="580" w:lineRule="exact"/>
        <w:ind w:firstLineChars="200" w:firstLine="640"/>
        <w:rPr>
          <w:rFonts w:ascii="仿宋_GB2312" w:eastAsia="仿宋_GB2312" w:hAnsi="Calibri"/>
          <w:sz w:val="32"/>
        </w:rPr>
      </w:pPr>
      <w:r>
        <w:rPr>
          <w:rFonts w:ascii="黑体" w:eastAsia="黑体" w:hAnsi="黑体" w:cs="宋体" w:hint="eastAsia"/>
          <w:bCs/>
          <w:kern w:val="0"/>
          <w:sz w:val="32"/>
          <w:szCs w:val="32"/>
        </w:rPr>
        <w:t>第三条</w:t>
      </w:r>
      <w:r>
        <w:rPr>
          <w:rFonts w:ascii="仿宋_GB2312" w:eastAsia="仿宋_GB2312" w:hAnsi="Calibri"/>
          <w:sz w:val="32"/>
        </w:rPr>
        <w:t xml:space="preserve"> </w:t>
      </w:r>
      <w:r>
        <w:rPr>
          <w:rFonts w:ascii="仿宋_GB2312" w:eastAsia="仿宋_GB2312" w:hAnsi="Calibri" w:hint="eastAsia"/>
          <w:sz w:val="32"/>
        </w:rPr>
        <w:t>按照“</w:t>
      </w:r>
      <w:r>
        <w:rPr>
          <w:rFonts w:ascii="仿宋_GB2312" w:eastAsia="仿宋_GB2312" w:hAnsi="Calibri"/>
          <w:sz w:val="32"/>
        </w:rPr>
        <w:t>开放、流动、联合、竞争</w:t>
      </w:r>
      <w:r>
        <w:rPr>
          <w:rFonts w:ascii="仿宋_GB2312" w:eastAsia="仿宋_GB2312" w:hAnsi="Calibri" w:hint="eastAsia"/>
          <w:sz w:val="32"/>
        </w:rPr>
        <w:t>”的研发平台运行机制要求</w:t>
      </w:r>
      <w:r>
        <w:rPr>
          <w:rFonts w:ascii="仿宋_GB2312" w:eastAsia="仿宋_GB2312" w:hAnsi="Calibri"/>
          <w:sz w:val="32"/>
        </w:rPr>
        <w:t>，为</w:t>
      </w:r>
      <w:r>
        <w:rPr>
          <w:rFonts w:ascii="仿宋_GB2312" w:eastAsia="仿宋_GB2312" w:hAnsi="Calibri" w:hint="eastAsia"/>
          <w:sz w:val="32"/>
        </w:rPr>
        <w:t>有效</w:t>
      </w:r>
      <w:r>
        <w:rPr>
          <w:rFonts w:ascii="仿宋_GB2312" w:eastAsia="仿宋_GB2312" w:hAnsi="Calibri"/>
          <w:sz w:val="32"/>
        </w:rPr>
        <w:t>发挥</w:t>
      </w:r>
      <w:r>
        <w:rPr>
          <w:rFonts w:ascii="仿宋_GB2312" w:eastAsia="仿宋_GB2312" w:hAnsi="Calibri" w:hint="eastAsia"/>
          <w:sz w:val="32"/>
        </w:rPr>
        <w:t>高端研发</w:t>
      </w:r>
      <w:r>
        <w:rPr>
          <w:rFonts w:ascii="仿宋_GB2312" w:eastAsia="仿宋_GB2312" w:hAnsi="Calibri"/>
          <w:sz w:val="32"/>
        </w:rPr>
        <w:t>平台</w:t>
      </w:r>
      <w:r>
        <w:rPr>
          <w:rFonts w:ascii="仿宋_GB2312" w:eastAsia="仿宋_GB2312" w:hAnsi="Calibri" w:hint="eastAsia"/>
          <w:sz w:val="32"/>
        </w:rPr>
        <w:t>的科研辐射和引才聚才</w:t>
      </w:r>
      <w:r>
        <w:rPr>
          <w:rFonts w:ascii="仿宋_GB2312" w:eastAsia="仿宋_GB2312" w:hAnsi="Calibri"/>
          <w:sz w:val="32"/>
        </w:rPr>
        <w:t>作用，</w:t>
      </w:r>
      <w:r>
        <w:rPr>
          <w:rFonts w:ascii="仿宋_GB2312" w:eastAsia="仿宋_GB2312" w:hAnsi="Calibri" w:hint="eastAsia"/>
          <w:sz w:val="32"/>
        </w:rPr>
        <w:t>由能源集团</w:t>
      </w:r>
      <w:r>
        <w:rPr>
          <w:rFonts w:ascii="仿宋_GB2312" w:eastAsia="仿宋_GB2312" w:hAnsi="Calibri"/>
          <w:sz w:val="32"/>
        </w:rPr>
        <w:t>统筹设立开放基金项目</w:t>
      </w:r>
      <w:r>
        <w:rPr>
          <w:rFonts w:ascii="仿宋_GB2312" w:eastAsia="仿宋_GB2312" w:hAnsi="宋体" w:hint="eastAsia"/>
          <w:sz w:val="32"/>
        </w:rPr>
        <w:t>（以下简称基金</w:t>
      </w:r>
      <w:r>
        <w:rPr>
          <w:rFonts w:ascii="仿宋_GB2312" w:eastAsia="仿宋_GB2312" w:hAnsi="宋体" w:hint="eastAsia"/>
          <w:sz w:val="32"/>
        </w:rPr>
        <w:lastRenderedPageBreak/>
        <w:t>项目）</w:t>
      </w:r>
      <w:r>
        <w:rPr>
          <w:rFonts w:ascii="仿宋_GB2312" w:eastAsia="仿宋_GB2312" w:hAnsi="Calibri"/>
          <w:sz w:val="32"/>
        </w:rPr>
        <w:t>。</w:t>
      </w:r>
      <w:r>
        <w:rPr>
          <w:rFonts w:ascii="仿宋_GB2312" w:eastAsia="仿宋_GB2312" w:hAnsi="宋体" w:hint="eastAsia"/>
          <w:sz w:val="32"/>
        </w:rPr>
        <w:t>基金项目重点</w:t>
      </w:r>
      <w:r>
        <w:rPr>
          <w:rFonts w:ascii="仿宋_GB2312" w:eastAsia="仿宋_GB2312" w:hAnsi="Calibri" w:hint="eastAsia"/>
          <w:sz w:val="32"/>
        </w:rPr>
        <w:t>支持符合平台研究方向，具有重要科学意义的基础研究、应用基础研究、前沿技术研究。</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Calibri" w:cs="Times New Roman"/>
          <w:sz w:val="32"/>
        </w:rPr>
      </w:pPr>
      <w:r>
        <w:rPr>
          <w:rFonts w:ascii="黑体" w:eastAsia="黑体" w:hAnsi="黑体" w:hint="eastAsia"/>
          <w:bCs/>
          <w:sz w:val="32"/>
          <w:szCs w:val="32"/>
        </w:rPr>
        <w:t xml:space="preserve">第四条 </w:t>
      </w:r>
      <w:r>
        <w:rPr>
          <w:rFonts w:ascii="仿宋_GB2312" w:eastAsia="仿宋_GB2312" w:cs="Times New Roman" w:hint="eastAsia"/>
          <w:sz w:val="32"/>
        </w:rPr>
        <w:t>开放基金由能源集团总部列支，并单独核算。</w:t>
      </w:r>
      <w:r>
        <w:rPr>
          <w:rFonts w:ascii="仿宋_GB2312" w:eastAsia="仿宋_GB2312" w:hAnsi="黑体" w:cs="Times New Roman" w:hint="eastAsia"/>
          <w:bCs/>
          <w:kern w:val="2"/>
          <w:sz w:val="32"/>
          <w:szCs w:val="32"/>
        </w:rPr>
        <w:t>每年总额度控制在300万-500万元，单个基金项目支持额度5万-20万元，项目</w:t>
      </w:r>
      <w:r>
        <w:rPr>
          <w:rFonts w:ascii="仿宋_GB2312" w:eastAsia="仿宋_GB2312" w:hAnsi="黑体" w:hint="eastAsia"/>
          <w:bCs/>
          <w:sz w:val="32"/>
          <w:szCs w:val="32"/>
        </w:rPr>
        <w:t>研究期限一般不超过2年。</w:t>
      </w:r>
      <w:r>
        <w:rPr>
          <w:rFonts w:ascii="仿宋_GB2312" w:eastAsia="仿宋_GB2312" w:hAnsi="黑体" w:cs="Times New Roman" w:hint="eastAsia"/>
          <w:bCs/>
          <w:kern w:val="2"/>
          <w:sz w:val="32"/>
          <w:szCs w:val="32"/>
        </w:rPr>
        <w:t>后期根据实际运行情况，适时扩大基金规模。</w:t>
      </w:r>
    </w:p>
    <w:p w:rsidR="00811410" w:rsidRDefault="00811410" w:rsidP="00811410">
      <w:pPr>
        <w:spacing w:line="580" w:lineRule="exact"/>
        <w:ind w:firstLineChars="200" w:firstLine="640"/>
        <w:rPr>
          <w:rFonts w:ascii="仿宋_GB2312" w:eastAsia="仿宋_GB2312" w:hAnsi="Calibri"/>
          <w:sz w:val="32"/>
        </w:rPr>
      </w:pPr>
      <w:r>
        <w:rPr>
          <w:rFonts w:ascii="黑体" w:eastAsia="黑体" w:hAnsi="黑体" w:cs="宋体" w:hint="eastAsia"/>
          <w:bCs/>
          <w:kern w:val="0"/>
          <w:sz w:val="32"/>
          <w:szCs w:val="32"/>
        </w:rPr>
        <w:t>第五条</w:t>
      </w:r>
      <w:r>
        <w:rPr>
          <w:rFonts w:ascii="仿宋_GB2312" w:eastAsia="仿宋_GB2312" w:hAnsi="Calibri"/>
          <w:sz w:val="32"/>
        </w:rPr>
        <w:t xml:space="preserve"> </w:t>
      </w:r>
      <w:r>
        <w:rPr>
          <w:rFonts w:ascii="仿宋_GB2312" w:eastAsia="仿宋_GB2312" w:hAnsi="Calibri" w:hint="eastAsia"/>
          <w:sz w:val="32"/>
        </w:rPr>
        <w:t>科技发展公司（技术研究总院）是基金项目的归口管理部门，主要负责组织项目指南编制、立项审批、绩效评价等工作。</w:t>
      </w:r>
      <w:r>
        <w:rPr>
          <w:rFonts w:ascii="仿宋_GB2312" w:eastAsia="仿宋_GB2312" w:hint="eastAsia"/>
          <w:sz w:val="32"/>
          <w:szCs w:val="32"/>
        </w:rPr>
        <w:t>各研发平台负责提出</w:t>
      </w:r>
      <w:r>
        <w:rPr>
          <w:rFonts w:ascii="仿宋_GB2312" w:eastAsia="仿宋_GB2312" w:hAnsi="Calibri" w:hint="eastAsia"/>
          <w:sz w:val="32"/>
        </w:rPr>
        <w:t>基金项目指南建议，做好项目实施管理，协调平台资源共同完成基金项目研究任务。</w:t>
      </w:r>
    </w:p>
    <w:p w:rsidR="00811410" w:rsidRDefault="00811410" w:rsidP="00811410">
      <w:pPr>
        <w:shd w:val="clear" w:color="auto" w:fill="FFFFFF"/>
        <w:adjustRightInd w:val="0"/>
        <w:snapToGrid w:val="0"/>
        <w:spacing w:line="580" w:lineRule="exact"/>
        <w:rPr>
          <w:rFonts w:ascii="仿宋_GB2312" w:eastAsia="仿宋_GB2312" w:hAnsi="Calibri"/>
          <w:sz w:val="32"/>
        </w:rPr>
      </w:pPr>
    </w:p>
    <w:p w:rsidR="00811410" w:rsidRDefault="00811410" w:rsidP="00811410">
      <w:pPr>
        <w:shd w:val="clear" w:color="auto" w:fill="FFFFFF"/>
        <w:adjustRightInd w:val="0"/>
        <w:snapToGrid w:val="0"/>
        <w:spacing w:line="58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第二章  项目申请</w:t>
      </w:r>
    </w:p>
    <w:p w:rsidR="00811410" w:rsidRDefault="00811410" w:rsidP="00811410">
      <w:pPr>
        <w:shd w:val="clear" w:color="auto" w:fill="FFFFFF"/>
        <w:adjustRightInd w:val="0"/>
        <w:snapToGrid w:val="0"/>
        <w:spacing w:line="580" w:lineRule="exact"/>
        <w:rPr>
          <w:rFonts w:ascii="黑体" w:eastAsia="黑体" w:hAnsi="黑体" w:cs="宋体"/>
          <w:bCs/>
          <w:kern w:val="0"/>
          <w:sz w:val="32"/>
          <w:szCs w:val="32"/>
        </w:rPr>
      </w:pP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hint="eastAsia"/>
          <w:bCs/>
          <w:sz w:val="32"/>
          <w:szCs w:val="32"/>
        </w:rPr>
        <w:t>第六条</w:t>
      </w:r>
      <w:r>
        <w:rPr>
          <w:rFonts w:ascii="仿宋_GB2312" w:eastAsia="仿宋_GB2312" w:hAnsi="AlibabaPuHui" w:hint="eastAsia"/>
          <w:sz w:val="32"/>
          <w:szCs w:val="32"/>
        </w:rPr>
        <w:t xml:space="preserve"> 各研发平台根据自身研究方向和发展规划，结合相关领域技术发展前沿，提出年度研究重点，编制基金项目申报建议指南，报请能源集团审定后形成正式申报指南</w:t>
      </w:r>
      <w:r>
        <w:rPr>
          <w:rFonts w:ascii="仿宋_GB2312" w:eastAsia="仿宋_GB2312" w:hAnsi="Calibri" w:cs="Times New Roman" w:hint="eastAsia"/>
          <w:sz w:val="32"/>
        </w:rPr>
        <w:t>。</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hint="eastAsia"/>
          <w:bCs/>
          <w:sz w:val="32"/>
          <w:szCs w:val="32"/>
        </w:rPr>
        <w:t>第七条</w:t>
      </w:r>
      <w:r>
        <w:rPr>
          <w:rFonts w:ascii="仿宋_GB2312" w:eastAsia="仿宋_GB2312" w:hAnsi="AlibabaPuHui" w:hint="eastAsia"/>
          <w:sz w:val="32"/>
          <w:szCs w:val="32"/>
        </w:rPr>
        <w:t xml:space="preserve"> 各研发平台在编制建议指南前，可面向社会广泛征求意见建议，以增强指南的科学性和公信力，带动并提升相关领域优势研发资源的参与度。</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能源集团每年定期在集团门户网站及外部相关媒体发布申报指南，组织基金项目申请工作。</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hint="eastAsia"/>
          <w:bCs/>
          <w:sz w:val="32"/>
          <w:szCs w:val="32"/>
        </w:rPr>
        <w:t>第八条</w:t>
      </w:r>
      <w:r>
        <w:rPr>
          <w:rFonts w:ascii="仿宋_GB2312" w:eastAsia="仿宋_GB2312" w:hAnsi="AlibabaPuHui" w:hint="eastAsia"/>
          <w:sz w:val="32"/>
          <w:szCs w:val="32"/>
        </w:rPr>
        <w:t xml:space="preserve"> 基金项目申请人应具备以下条件：</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（一）</w:t>
      </w:r>
      <w:r w:rsidRPr="00811410">
        <w:rPr>
          <w:rFonts w:ascii="仿宋_GB2312" w:eastAsia="仿宋_GB2312" w:hAnsi="仿宋_GB2312" w:hint="eastAsia"/>
          <w:spacing w:val="-6"/>
          <w:sz w:val="32"/>
          <w:szCs w:val="32"/>
        </w:rPr>
        <w:t>遵守中华人民共和国法律法规，具有良好的科学道德。</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lastRenderedPageBreak/>
        <w:t>（二）具有副高级及以上技术职称或博士学位。</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（三）</w:t>
      </w:r>
      <w:r w:rsidRPr="00811410">
        <w:rPr>
          <w:rFonts w:ascii="仿宋_GB2312" w:eastAsia="仿宋_GB2312" w:hAnsi="仿宋_GB2312" w:hint="eastAsia"/>
          <w:spacing w:val="-6"/>
          <w:sz w:val="32"/>
          <w:szCs w:val="32"/>
        </w:rPr>
        <w:t>具有承担基础研究课题经验或者从事基础研究的能力。</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（四）</w:t>
      </w:r>
      <w:r>
        <w:rPr>
          <w:rFonts w:ascii="仿宋_GB2312" w:eastAsia="仿宋_GB2312" w:hint="eastAsia"/>
          <w:sz w:val="32"/>
          <w:szCs w:val="32"/>
        </w:rPr>
        <w:t>申请人一般为不超过45周岁</w:t>
      </w:r>
      <w:r>
        <w:rPr>
          <w:rFonts w:ascii="仿宋_GB2312" w:eastAsia="仿宋_GB2312" w:hAnsi="AlibabaPuHui" w:hint="eastAsia"/>
          <w:sz w:val="32"/>
          <w:szCs w:val="32"/>
        </w:rPr>
        <w:t>的高校、科研机构研发人员</w:t>
      </w:r>
      <w:r>
        <w:rPr>
          <w:rFonts w:ascii="仿宋_GB2312" w:eastAsia="仿宋_GB2312" w:hint="eastAsia"/>
          <w:sz w:val="32"/>
          <w:szCs w:val="32"/>
        </w:rPr>
        <w:t>。优先支持来集团研发平台开展研究的人员和</w:t>
      </w:r>
      <w:r>
        <w:rPr>
          <w:rFonts w:ascii="仿宋_GB2312" w:eastAsia="仿宋_GB2312" w:hAnsi="AlibabaPuHui" w:hint="eastAsia"/>
          <w:sz w:val="32"/>
          <w:szCs w:val="32"/>
        </w:rPr>
        <w:t>35岁以下的青年科研骨干。</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（五）优先支持有意向进入能源集团博士后科研工作站开展研究的人员，支持在站博士后作为申请人。</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bCs/>
          <w:sz w:val="32"/>
          <w:szCs w:val="32"/>
        </w:rPr>
      </w:pPr>
      <w:r>
        <w:rPr>
          <w:rFonts w:ascii="黑体" w:eastAsia="黑体" w:hAnsi="黑体" w:hint="eastAsia"/>
          <w:bCs/>
          <w:sz w:val="32"/>
          <w:szCs w:val="32"/>
        </w:rPr>
        <w:t xml:space="preserve">第九条 </w:t>
      </w:r>
      <w:r>
        <w:rPr>
          <w:rFonts w:ascii="仿宋_GB2312" w:eastAsia="仿宋_GB2312" w:hAnsi="黑体" w:hint="eastAsia"/>
          <w:bCs/>
          <w:sz w:val="32"/>
          <w:szCs w:val="32"/>
        </w:rPr>
        <w:t>有下列情形之一的，不得申请基金项目：</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bCs/>
          <w:sz w:val="32"/>
          <w:szCs w:val="32"/>
        </w:rPr>
      </w:pPr>
      <w:r>
        <w:rPr>
          <w:rFonts w:ascii="仿宋_GB2312" w:eastAsia="仿宋_GB2312" w:hAnsi="黑体" w:hint="eastAsia"/>
          <w:bCs/>
          <w:sz w:val="32"/>
          <w:szCs w:val="32"/>
        </w:rPr>
        <w:t>（一）在校研究生。</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（二）申请人无依托单位，以个人名义申请的。</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（三）有在研能源集团基金项目的。</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Calibri" w:eastAsia="黑体" w:hAnsi="Calibri" w:cs="Calibri"/>
          <w:bCs/>
          <w:sz w:val="32"/>
          <w:szCs w:val="32"/>
        </w:rPr>
        <w:t> </w:t>
      </w:r>
      <w:r>
        <w:rPr>
          <w:rFonts w:ascii="黑体" w:eastAsia="黑体" w:hAnsi="黑体" w:hint="eastAsia"/>
          <w:bCs/>
          <w:sz w:val="32"/>
          <w:szCs w:val="32"/>
        </w:rPr>
        <w:t xml:space="preserve">第十条 </w:t>
      </w:r>
      <w:r>
        <w:rPr>
          <w:rFonts w:ascii="仿宋_GB2312" w:eastAsia="仿宋_GB2312" w:hAnsi="AlibabaPuHui" w:hint="eastAsia"/>
          <w:sz w:val="32"/>
          <w:szCs w:val="32"/>
        </w:rPr>
        <w:t>基金项目申请人同一年度限申请1项基金项目。</w:t>
      </w:r>
    </w:p>
    <w:p w:rsidR="00811410" w:rsidRDefault="00811410" w:rsidP="00811410">
      <w:pPr>
        <w:adjustRightInd w:val="0"/>
        <w:spacing w:line="580" w:lineRule="exact"/>
        <w:ind w:firstLineChars="200" w:firstLine="640"/>
        <w:rPr>
          <w:rFonts w:ascii="仿宋_GB2312" w:eastAsia="仿宋_GB2312" w:hAnsi="黑体"/>
          <w:bCs/>
          <w:sz w:val="32"/>
          <w:szCs w:val="32"/>
        </w:rPr>
      </w:pPr>
      <w:r>
        <w:rPr>
          <w:rFonts w:ascii="黑体" w:eastAsia="黑体" w:hAnsi="黑体" w:hint="eastAsia"/>
          <w:bCs/>
          <w:sz w:val="32"/>
          <w:szCs w:val="32"/>
        </w:rPr>
        <w:t xml:space="preserve">第十一条 </w:t>
      </w:r>
      <w:r>
        <w:rPr>
          <w:rFonts w:ascii="仿宋_GB2312" w:eastAsia="仿宋_GB2312" w:hAnsi="黑体" w:hint="eastAsia"/>
          <w:bCs/>
          <w:sz w:val="32"/>
          <w:szCs w:val="32"/>
        </w:rPr>
        <w:t>基金项目申请人按要求填写《</w:t>
      </w:r>
      <w:r>
        <w:rPr>
          <w:rFonts w:ascii="仿宋_GB2312" w:eastAsia="仿宋_GB2312" w:hAnsi="宋体" w:hint="eastAsia"/>
          <w:sz w:val="32"/>
        </w:rPr>
        <w:t>科技创新开放基金</w:t>
      </w:r>
      <w:r>
        <w:rPr>
          <w:rFonts w:ascii="仿宋_GB2312" w:eastAsia="仿宋_GB2312" w:hAnsi="黑体" w:hint="eastAsia"/>
          <w:bCs/>
          <w:sz w:val="32"/>
          <w:szCs w:val="32"/>
        </w:rPr>
        <w:t>项目立项申请书》，并对所提交申请材料的真实性负责。</w:t>
      </w:r>
    </w:p>
    <w:p w:rsidR="00811410" w:rsidRDefault="00811410" w:rsidP="00811410">
      <w:pPr>
        <w:adjustRightInd w:val="0"/>
        <w:spacing w:line="580" w:lineRule="exact"/>
        <w:ind w:firstLineChars="200" w:firstLine="640"/>
        <w:rPr>
          <w:rFonts w:ascii="仿宋_GB2312" w:eastAsia="仿宋_GB2312" w:hAnsi="黑体"/>
          <w:bCs/>
          <w:sz w:val="32"/>
          <w:szCs w:val="32"/>
        </w:rPr>
      </w:pPr>
      <w:r>
        <w:rPr>
          <w:rFonts w:ascii="黑体" w:eastAsia="黑体" w:hAnsi="黑体" w:hint="eastAsia"/>
          <w:bCs/>
          <w:sz w:val="32"/>
          <w:szCs w:val="32"/>
        </w:rPr>
        <w:t xml:space="preserve">第十二条 </w:t>
      </w:r>
      <w:r>
        <w:rPr>
          <w:rFonts w:ascii="仿宋_GB2312" w:eastAsia="仿宋_GB2312" w:hAnsi="黑体" w:hint="eastAsia"/>
          <w:bCs/>
          <w:sz w:val="32"/>
          <w:szCs w:val="32"/>
        </w:rPr>
        <w:t>申请人所在单位负责对申请材料的真实性和完整性进行审核并择优推荐，并对推荐项目出具审查意见报能源集团。</w:t>
      </w:r>
    </w:p>
    <w:p w:rsidR="00811410" w:rsidRDefault="00811410" w:rsidP="00811410">
      <w:pPr>
        <w:adjustRightInd w:val="0"/>
        <w:spacing w:line="580" w:lineRule="exact"/>
        <w:ind w:firstLineChars="200" w:firstLine="640"/>
        <w:rPr>
          <w:rFonts w:ascii="仿宋_GB2312" w:eastAsia="仿宋_GB2312" w:hAnsi="黑体"/>
          <w:bCs/>
          <w:sz w:val="32"/>
          <w:szCs w:val="32"/>
        </w:rPr>
      </w:pPr>
    </w:p>
    <w:p w:rsidR="00811410" w:rsidRDefault="00811410" w:rsidP="00811410">
      <w:pPr>
        <w:shd w:val="clear" w:color="auto" w:fill="FFFFFF"/>
        <w:adjustRightInd w:val="0"/>
        <w:snapToGrid w:val="0"/>
        <w:spacing w:line="58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第三章  项目审批</w:t>
      </w:r>
    </w:p>
    <w:p w:rsidR="00811410" w:rsidRDefault="00811410" w:rsidP="00811410">
      <w:pPr>
        <w:shd w:val="clear" w:color="auto" w:fill="FFFFFF"/>
        <w:adjustRightInd w:val="0"/>
        <w:snapToGrid w:val="0"/>
        <w:spacing w:line="580" w:lineRule="exact"/>
        <w:jc w:val="center"/>
        <w:rPr>
          <w:rFonts w:ascii="黑体" w:eastAsia="黑体" w:hAnsi="黑体" w:cs="宋体"/>
          <w:bCs/>
          <w:kern w:val="0"/>
          <w:sz w:val="32"/>
          <w:szCs w:val="32"/>
        </w:rPr>
      </w:pP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第十三条 </w:t>
      </w:r>
      <w:r>
        <w:rPr>
          <w:rFonts w:ascii="仿宋_GB2312" w:eastAsia="仿宋_GB2312" w:hAnsi="AlibabaPuHui"/>
          <w:sz w:val="32"/>
          <w:szCs w:val="32"/>
        </w:rPr>
        <w:t> </w:t>
      </w:r>
      <w:r>
        <w:rPr>
          <w:rFonts w:ascii="仿宋_GB2312" w:eastAsia="仿宋_GB2312" w:hAnsi="AlibabaPuHui" w:hint="eastAsia"/>
          <w:sz w:val="32"/>
          <w:szCs w:val="32"/>
        </w:rPr>
        <w:t>各研发平台负责基金项目的初审，有下列情形之一的，不予受理。</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（一）申请手续不完备，申请书填写不符合规定。</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lastRenderedPageBreak/>
        <w:t>（二）不符合基金项目申报指南范围。</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（三）项目研究缺乏理论依据或研究方法、技术路线明显不清。</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（四）不具备实施该项目的研究能力，或缺乏基本的研究条件。</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仿宋_GB2312" w:eastAsia="仿宋_GB2312" w:hAnsi="AlibabaPuHui" w:hint="eastAsia"/>
          <w:sz w:val="32"/>
          <w:szCs w:val="32"/>
        </w:rPr>
        <w:t>（五）申请人近三年承担的能源集团基金项目未按期通过验收。</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Calibri" w:cs="Times New Roman"/>
          <w:sz w:val="32"/>
        </w:rPr>
      </w:pPr>
      <w:r>
        <w:rPr>
          <w:rFonts w:ascii="黑体" w:eastAsia="黑体" w:hAnsi="黑体" w:cs="Times New Roman" w:hint="eastAsia"/>
          <w:bCs/>
          <w:kern w:val="2"/>
          <w:sz w:val="32"/>
          <w:szCs w:val="32"/>
        </w:rPr>
        <w:t xml:space="preserve">第十四条 </w:t>
      </w:r>
      <w:r>
        <w:rPr>
          <w:rFonts w:ascii="仿宋_GB2312" w:eastAsia="仿宋_GB2312" w:hAnsi="Calibri" w:cs="Calibri" w:hint="eastAsia"/>
          <w:bCs/>
          <w:kern w:val="2"/>
          <w:sz w:val="32"/>
          <w:szCs w:val="32"/>
        </w:rPr>
        <w:t> </w:t>
      </w:r>
      <w:r>
        <w:rPr>
          <w:rFonts w:ascii="仿宋_GB2312" w:eastAsia="仿宋_GB2312" w:hAnsi="Calibri" w:cs="Calibri" w:hint="eastAsia"/>
          <w:bCs/>
          <w:kern w:val="2"/>
          <w:sz w:val="32"/>
          <w:szCs w:val="32"/>
        </w:rPr>
        <w:t>通过初审的基金项目由各研发平台统一报山东能源集团，能源集团</w:t>
      </w:r>
      <w:r>
        <w:rPr>
          <w:rFonts w:ascii="仿宋_GB2312" w:eastAsia="仿宋_GB2312" w:hAnsi="AlibabaPuHui" w:hint="eastAsia"/>
          <w:sz w:val="32"/>
          <w:szCs w:val="32"/>
        </w:rPr>
        <w:t>组织内外部专家进行立项综合评审。</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cs="Times New Roman"/>
          <w:bCs/>
          <w:kern w:val="2"/>
          <w:sz w:val="32"/>
          <w:szCs w:val="32"/>
        </w:rPr>
      </w:pPr>
      <w:r>
        <w:rPr>
          <w:rFonts w:ascii="黑体" w:eastAsia="黑体" w:hAnsi="黑体" w:cs="Times New Roman" w:hint="eastAsia"/>
          <w:bCs/>
          <w:kern w:val="2"/>
          <w:sz w:val="32"/>
          <w:szCs w:val="32"/>
        </w:rPr>
        <w:t xml:space="preserve">第十五条 </w:t>
      </w:r>
      <w:r>
        <w:rPr>
          <w:rFonts w:ascii="仿宋_GB2312" w:eastAsia="仿宋_GB2312" w:hAnsi="黑体" w:cs="Times New Roman" w:hint="eastAsia"/>
          <w:bCs/>
          <w:kern w:val="2"/>
          <w:sz w:val="32"/>
          <w:szCs w:val="32"/>
        </w:rPr>
        <w:t>科技发展公司（技术研究总院）综合专家评审意见和年度基金支持总额情况，确定拟支持的基金项目，报能源集团决策审批。</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highlight w:val="yellow"/>
        </w:rPr>
      </w:pPr>
      <w:r>
        <w:rPr>
          <w:rFonts w:ascii="黑体" w:eastAsia="黑体" w:hAnsi="黑体" w:cs="Times New Roman" w:hint="eastAsia"/>
          <w:bCs/>
          <w:kern w:val="2"/>
          <w:sz w:val="32"/>
          <w:szCs w:val="32"/>
        </w:rPr>
        <w:t xml:space="preserve">第十六条 </w:t>
      </w:r>
      <w:r>
        <w:rPr>
          <w:rFonts w:ascii="仿宋_GB2312" w:eastAsia="仿宋_GB2312" w:hAnsi="Calibri" w:cs="Calibri" w:hint="eastAsia"/>
          <w:bCs/>
          <w:kern w:val="2"/>
          <w:sz w:val="32"/>
          <w:szCs w:val="32"/>
        </w:rPr>
        <w:t> </w:t>
      </w:r>
      <w:r>
        <w:rPr>
          <w:rFonts w:ascii="仿宋_GB2312" w:eastAsia="仿宋_GB2312" w:hAnsi="Calibri" w:cs="Calibri" w:hint="eastAsia"/>
          <w:bCs/>
          <w:kern w:val="2"/>
          <w:sz w:val="32"/>
          <w:szCs w:val="32"/>
        </w:rPr>
        <w:t>能源集团最终审定</w:t>
      </w:r>
      <w:r>
        <w:rPr>
          <w:rFonts w:ascii="仿宋_GB2312" w:eastAsia="仿宋_GB2312" w:hAnsi="AlibabaPuHui" w:hint="eastAsia"/>
          <w:sz w:val="32"/>
          <w:szCs w:val="32"/>
        </w:rPr>
        <w:t>年度</w:t>
      </w:r>
      <w:r>
        <w:rPr>
          <w:rFonts w:ascii="仿宋_GB2312" w:eastAsia="仿宋_GB2312" w:cs="Times New Roman" w:hint="eastAsia"/>
          <w:sz w:val="32"/>
        </w:rPr>
        <w:t>科技创新开放基金</w:t>
      </w:r>
      <w:r>
        <w:rPr>
          <w:rFonts w:ascii="仿宋_GB2312" w:eastAsia="仿宋_GB2312" w:hAnsi="AlibabaPuHui" w:hint="eastAsia"/>
          <w:sz w:val="32"/>
          <w:szCs w:val="32"/>
        </w:rPr>
        <w:t>项目及支持额度，并在能源集团门户网站发布立项公告。</w:t>
      </w:r>
    </w:p>
    <w:p w:rsidR="00811410" w:rsidRDefault="00811410" w:rsidP="00811410">
      <w:pPr>
        <w:shd w:val="clear" w:color="auto" w:fill="FFFFFF"/>
        <w:adjustRightInd w:val="0"/>
        <w:snapToGrid w:val="0"/>
        <w:spacing w:line="580" w:lineRule="exact"/>
        <w:rPr>
          <w:rFonts w:ascii="黑体" w:eastAsia="黑体" w:hAnsi="黑体" w:cs="宋体"/>
          <w:bCs/>
          <w:kern w:val="0"/>
          <w:sz w:val="32"/>
          <w:szCs w:val="32"/>
        </w:rPr>
      </w:pPr>
    </w:p>
    <w:p w:rsidR="00811410" w:rsidRDefault="00811410" w:rsidP="00811410">
      <w:pPr>
        <w:shd w:val="clear" w:color="auto" w:fill="FFFFFF"/>
        <w:adjustRightInd w:val="0"/>
        <w:snapToGrid w:val="0"/>
        <w:spacing w:line="58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第四章  项目实施</w:t>
      </w:r>
    </w:p>
    <w:p w:rsidR="00811410" w:rsidRDefault="00811410" w:rsidP="00811410">
      <w:pPr>
        <w:shd w:val="clear" w:color="auto" w:fill="FFFFFF"/>
        <w:adjustRightInd w:val="0"/>
        <w:snapToGrid w:val="0"/>
        <w:spacing w:line="580" w:lineRule="exact"/>
        <w:jc w:val="center"/>
        <w:rPr>
          <w:rFonts w:ascii="黑体" w:eastAsia="黑体" w:hAnsi="黑体" w:cs="宋体"/>
          <w:bCs/>
          <w:kern w:val="0"/>
          <w:sz w:val="32"/>
          <w:szCs w:val="32"/>
        </w:rPr>
      </w:pP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第十七条 </w:t>
      </w:r>
      <w:r>
        <w:rPr>
          <w:rFonts w:ascii="仿宋_GB2312" w:eastAsia="仿宋_GB2312" w:hAnsi="AlibabaPuHui"/>
          <w:sz w:val="32"/>
          <w:szCs w:val="32"/>
        </w:rPr>
        <w:t> </w:t>
      </w:r>
      <w:r>
        <w:rPr>
          <w:rFonts w:ascii="仿宋_GB2312" w:eastAsia="仿宋_GB2312" w:hAnsi="AlibabaPuHui" w:hint="eastAsia"/>
          <w:sz w:val="32"/>
          <w:szCs w:val="32"/>
        </w:rPr>
        <w:t>申请人收到立项通知后，应组建项目研发团队，团队成员需包含能源集团相关研发平台人员。</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第十八条 </w:t>
      </w:r>
      <w:r>
        <w:rPr>
          <w:rFonts w:ascii="仿宋_GB2312" w:eastAsia="仿宋_GB2312" w:hAnsi="AlibabaPuHui"/>
          <w:sz w:val="32"/>
          <w:szCs w:val="32"/>
        </w:rPr>
        <w:t> </w:t>
      </w:r>
      <w:r>
        <w:rPr>
          <w:rFonts w:ascii="仿宋_GB2312" w:eastAsia="仿宋_GB2312" w:hAnsi="AlibabaPuHui" w:hint="eastAsia"/>
          <w:sz w:val="32"/>
          <w:szCs w:val="32"/>
        </w:rPr>
        <w:t>申请人需按要求填写《山东能源集团有限公司</w:t>
      </w:r>
      <w:r>
        <w:rPr>
          <w:rFonts w:ascii="仿宋_GB2312" w:eastAsia="仿宋_GB2312" w:cs="Times New Roman" w:hint="eastAsia"/>
          <w:sz w:val="32"/>
        </w:rPr>
        <w:t>科技创新开放基金</w:t>
      </w:r>
      <w:r>
        <w:rPr>
          <w:rFonts w:ascii="仿宋_GB2312" w:eastAsia="仿宋_GB2312" w:hAnsi="AlibabaPuHui" w:hint="eastAsia"/>
          <w:sz w:val="32"/>
          <w:szCs w:val="32"/>
        </w:rPr>
        <w:t>项目合同书》，并于收到通知2</w:t>
      </w:r>
      <w:r>
        <w:rPr>
          <w:rFonts w:ascii="仿宋_GB2312" w:eastAsia="仿宋_GB2312" w:hAnsi="AlibabaPuHui"/>
          <w:sz w:val="32"/>
          <w:szCs w:val="32"/>
        </w:rPr>
        <w:t>0</w:t>
      </w:r>
      <w:r>
        <w:rPr>
          <w:rFonts w:ascii="仿宋_GB2312" w:eastAsia="仿宋_GB2312" w:hAnsi="AlibabaPuHui" w:hint="eastAsia"/>
          <w:sz w:val="32"/>
          <w:szCs w:val="32"/>
        </w:rPr>
        <w:t>个工作日内完成项目依托单位的审核与签章，提交能源集团。逾期未提交项目合同书且在规定期限内未说明理由的，视为自动放弃。</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lastRenderedPageBreak/>
        <w:t xml:space="preserve">第十九条 </w:t>
      </w:r>
      <w:r w:rsidRPr="00811410">
        <w:rPr>
          <w:rFonts w:ascii="仿宋_GB2312" w:eastAsia="仿宋_GB2312" w:hAnsi="黑体" w:cs="Times New Roman" w:hint="eastAsia"/>
          <w:bCs/>
          <w:kern w:val="2"/>
          <w:sz w:val="32"/>
          <w:szCs w:val="32"/>
        </w:rPr>
        <w:t>各</w:t>
      </w:r>
      <w:r>
        <w:rPr>
          <w:rFonts w:ascii="仿宋_GB2312" w:eastAsia="仿宋_GB2312" w:hAnsi="黑体" w:cs="Times New Roman" w:hint="eastAsia"/>
          <w:bCs/>
          <w:kern w:val="2"/>
          <w:sz w:val="32"/>
          <w:szCs w:val="32"/>
        </w:rPr>
        <w:t>研发平台负责基金项目合同书初审，科技发展公司（技术研究总院）组织完成合同书签订。</w:t>
      </w:r>
      <w:r>
        <w:rPr>
          <w:rFonts w:ascii="仿宋_GB2312" w:eastAsia="仿宋_GB2312" w:hAnsi="AlibabaPuHui" w:hint="eastAsia"/>
          <w:sz w:val="32"/>
          <w:szCs w:val="32"/>
        </w:rPr>
        <w:t>签订后的项目合同书作为项目实施、经费拨付、绩效评价（验收）的依据。</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第二十条 </w:t>
      </w:r>
      <w:r>
        <w:rPr>
          <w:rFonts w:ascii="仿宋_GB2312" w:eastAsia="仿宋_GB2312" w:hAnsi="AlibabaPuHui" w:hint="eastAsia"/>
          <w:sz w:val="32"/>
          <w:szCs w:val="32"/>
        </w:rPr>
        <w:t>各研发平台为研究团队提供必要的研究实验条件，并协同完成项目研究任务。</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第二十一条 </w:t>
      </w:r>
      <w:r>
        <w:rPr>
          <w:rFonts w:ascii="仿宋_GB2312" w:eastAsia="仿宋_GB2312" w:hAnsi="AlibabaPuHui"/>
          <w:sz w:val="32"/>
          <w:szCs w:val="32"/>
        </w:rPr>
        <w:t> </w:t>
      </w:r>
      <w:r>
        <w:rPr>
          <w:rFonts w:ascii="仿宋_GB2312" w:eastAsia="仿宋_GB2312" w:hAnsi="AlibabaPuHui" w:hint="eastAsia"/>
          <w:sz w:val="32"/>
          <w:szCs w:val="32"/>
        </w:rPr>
        <w:t>项目申请人全面负责基金项目的实施，项目实施过程中，项目申请人原则上不得更换。确需进行调整的，按山东能源集团科技项目变更程序提交审批。</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第二十二条 </w:t>
      </w:r>
      <w:r>
        <w:rPr>
          <w:rFonts w:ascii="仿宋_GB2312" w:eastAsia="仿宋_GB2312" w:hAnsi="AlibabaPuHui"/>
          <w:sz w:val="32"/>
          <w:szCs w:val="32"/>
        </w:rPr>
        <w:t> </w:t>
      </w:r>
      <w:r>
        <w:rPr>
          <w:rFonts w:ascii="仿宋_GB2312" w:eastAsia="仿宋_GB2312" w:hAnsi="AlibabaPuHui" w:hint="eastAsia"/>
          <w:sz w:val="32"/>
          <w:szCs w:val="32"/>
        </w:rPr>
        <w:t>项目实施过程中，研究内容及主要考核指标原则上不得调整。因客观因素确需调整的，项目申请人应当及时提出申请，由项目依托单位报能源集团相关研发平台，按照项目合同书审批流程组织签订项目变更合同书。</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第二十三条 </w:t>
      </w:r>
      <w:r>
        <w:rPr>
          <w:rFonts w:ascii="仿宋_GB2312" w:eastAsia="仿宋_GB2312" w:hAnsi="AlibabaPuHui"/>
          <w:sz w:val="32"/>
          <w:szCs w:val="32"/>
        </w:rPr>
        <w:t> </w:t>
      </w:r>
      <w:r>
        <w:rPr>
          <w:rFonts w:ascii="仿宋_GB2312" w:eastAsia="仿宋_GB2312" w:hAnsi="AlibabaPuHui" w:hint="eastAsia"/>
          <w:sz w:val="32"/>
          <w:szCs w:val="32"/>
        </w:rPr>
        <w:t>不能按期完成研究计划的，项目申请人可申请延期1次，申请延长的期限最长不超过6个月。项目申请人应当于项目到期前3个月内提出延期申请，经项目依托单位审核后报能源集团批复。</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第二十四条 </w:t>
      </w:r>
      <w:r>
        <w:rPr>
          <w:rFonts w:ascii="仿宋_GB2312" w:eastAsia="仿宋_GB2312" w:hAnsi="AlibabaPuHui"/>
          <w:sz w:val="32"/>
          <w:szCs w:val="32"/>
        </w:rPr>
        <w:t> </w:t>
      </w:r>
      <w:r>
        <w:rPr>
          <w:rFonts w:ascii="仿宋_GB2312" w:eastAsia="仿宋_GB2312" w:hAnsi="AlibabaPuHui" w:hint="eastAsia"/>
          <w:sz w:val="32"/>
          <w:szCs w:val="32"/>
        </w:rPr>
        <w:t>各研发平台负责基金项目的进展调度、中期考核等全过程管理。按照合同书约定的时间节点及完成内容，进行项目中期考核，并形成中期检查报告及后续资金拨付意见。</w:t>
      </w:r>
    </w:p>
    <w:p w:rsidR="00811410" w:rsidRDefault="00811410" w:rsidP="00811410">
      <w:pPr>
        <w:pStyle w:val="aa"/>
        <w:widowControl w:val="0"/>
        <w:spacing w:before="0" w:beforeAutospacing="0" w:after="0" w:afterAutospacing="0" w:line="580" w:lineRule="exact"/>
        <w:jc w:val="center"/>
        <w:rPr>
          <w:rFonts w:ascii="黑体" w:eastAsia="黑体" w:hAnsi="黑体"/>
          <w:bCs/>
          <w:sz w:val="32"/>
          <w:szCs w:val="32"/>
        </w:rPr>
      </w:pPr>
    </w:p>
    <w:p w:rsidR="00811410" w:rsidRDefault="00811410" w:rsidP="00811410">
      <w:pPr>
        <w:pStyle w:val="aa"/>
        <w:widowControl w:val="0"/>
        <w:spacing w:before="0" w:beforeAutospacing="0" w:after="0" w:afterAutospacing="0" w:line="580" w:lineRule="exact"/>
        <w:jc w:val="center"/>
        <w:rPr>
          <w:rFonts w:ascii="黑体" w:eastAsia="黑体" w:hAnsi="黑体"/>
          <w:bCs/>
          <w:sz w:val="32"/>
          <w:szCs w:val="32"/>
        </w:rPr>
      </w:pPr>
      <w:r>
        <w:rPr>
          <w:rFonts w:ascii="黑体" w:eastAsia="黑体" w:hAnsi="黑体" w:hint="eastAsia"/>
          <w:bCs/>
          <w:sz w:val="32"/>
          <w:szCs w:val="32"/>
        </w:rPr>
        <w:t>第五章  项目经费管理</w:t>
      </w:r>
    </w:p>
    <w:p w:rsidR="00811410" w:rsidRDefault="00811410" w:rsidP="00811410">
      <w:pPr>
        <w:pStyle w:val="aa"/>
        <w:widowControl w:val="0"/>
        <w:spacing w:before="0" w:beforeAutospacing="0" w:after="0" w:afterAutospacing="0" w:line="580" w:lineRule="exact"/>
        <w:jc w:val="center"/>
        <w:rPr>
          <w:rFonts w:ascii="黑体" w:eastAsia="黑体" w:hAnsi="黑体"/>
          <w:bCs/>
          <w:sz w:val="32"/>
          <w:szCs w:val="32"/>
        </w:rPr>
      </w:pPr>
      <w:r>
        <w:rPr>
          <w:rFonts w:ascii="黑体" w:eastAsia="黑体" w:hAnsi="黑体" w:hint="eastAsia"/>
          <w:bCs/>
          <w:sz w:val="32"/>
          <w:szCs w:val="32"/>
        </w:rPr>
        <w:t xml:space="preserve"> </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lastRenderedPageBreak/>
        <w:t xml:space="preserve">第二十五条 </w:t>
      </w:r>
      <w:r>
        <w:rPr>
          <w:rFonts w:ascii="仿宋_GB2312" w:eastAsia="仿宋_GB2312" w:hAnsi="AlibabaPuHui" w:hint="eastAsia"/>
          <w:sz w:val="32"/>
          <w:szCs w:val="32"/>
        </w:rPr>
        <w:t> </w:t>
      </w:r>
      <w:r>
        <w:rPr>
          <w:rFonts w:ascii="仿宋_GB2312" w:eastAsia="仿宋_GB2312" w:hAnsi="AlibabaPuHui" w:hint="eastAsia"/>
          <w:sz w:val="32"/>
          <w:szCs w:val="32"/>
        </w:rPr>
        <w:t>项目经费由申请人依托单位总体负责，监督使用。鼓励推行项目经费“包干制”，赋予项目申请人充分的技术路线决定权、科研经费使用权和资源调度权。依托单位应通过强化节点式把关和资金使用决算公开等方式对资金使用情况进行监督，并对资金使用成效负责。</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第二十六条 </w:t>
      </w:r>
      <w:r w:rsidRPr="00811410">
        <w:rPr>
          <w:rFonts w:ascii="仿宋_GB2312" w:eastAsia="仿宋_GB2312" w:hAnsi="黑体" w:cs="Times New Roman" w:hint="eastAsia"/>
          <w:bCs/>
          <w:kern w:val="2"/>
          <w:sz w:val="32"/>
          <w:szCs w:val="32"/>
        </w:rPr>
        <w:t>各</w:t>
      </w:r>
      <w:r>
        <w:rPr>
          <w:rFonts w:ascii="仿宋_GB2312" w:eastAsia="仿宋_GB2312" w:hAnsi="黑体" w:cs="Times New Roman" w:hint="eastAsia"/>
          <w:bCs/>
          <w:kern w:val="2"/>
          <w:sz w:val="32"/>
          <w:szCs w:val="32"/>
        </w:rPr>
        <w:t>研发平台负责按照项目合同书约定发起付款流程，经能源集团审批后拨付项目依托单位。</w:t>
      </w:r>
      <w:r>
        <w:rPr>
          <w:rFonts w:ascii="仿宋_GB2312" w:eastAsia="仿宋_GB2312" w:hAnsi="AlibabaPuHui" w:hint="eastAsia"/>
          <w:sz w:val="32"/>
          <w:szCs w:val="32"/>
        </w:rPr>
        <w:t>原则上，项目签订合同书后，拨付不高于3</w:t>
      </w:r>
      <w:r>
        <w:rPr>
          <w:rFonts w:ascii="仿宋_GB2312" w:eastAsia="仿宋_GB2312" w:hAnsi="AlibabaPuHui"/>
          <w:sz w:val="32"/>
          <w:szCs w:val="32"/>
        </w:rPr>
        <w:t>0%</w:t>
      </w:r>
      <w:r>
        <w:rPr>
          <w:rFonts w:ascii="仿宋_GB2312" w:eastAsia="仿宋_GB2312" w:hAnsi="AlibabaPuHui" w:hint="eastAsia"/>
          <w:sz w:val="32"/>
          <w:szCs w:val="32"/>
        </w:rPr>
        <w:t>项目经费；项目中期检查通过后，拨付不高于40%项目经费；项目完成后，根据完成情况拨付剩余经费。</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第二十七条 </w:t>
      </w:r>
      <w:r>
        <w:rPr>
          <w:rFonts w:ascii="仿宋_GB2312" w:eastAsia="仿宋_GB2312" w:hAnsi="AlibabaPuHui" w:hint="eastAsia"/>
          <w:sz w:val="32"/>
          <w:szCs w:val="32"/>
        </w:rPr>
        <w:t>项目依托单位</w:t>
      </w:r>
      <w:r>
        <w:rPr>
          <w:rFonts w:ascii="仿宋_GB2312" w:eastAsia="仿宋_GB2312" w:cs="Times New Roman" w:hint="eastAsia"/>
          <w:sz w:val="32"/>
        </w:rPr>
        <w:t>要对开放基金</w:t>
      </w:r>
      <w:r>
        <w:rPr>
          <w:rFonts w:ascii="仿宋_GB2312" w:eastAsia="仿宋_GB2312" w:hAnsi="AlibabaPuHui" w:hint="eastAsia"/>
          <w:sz w:val="32"/>
          <w:szCs w:val="32"/>
        </w:rPr>
        <w:t>项目经费单独核算、专款专用，不得截留、挪用。</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p>
    <w:p w:rsidR="00811410" w:rsidRDefault="00811410" w:rsidP="00811410">
      <w:pPr>
        <w:pStyle w:val="aa"/>
        <w:widowControl w:val="0"/>
        <w:spacing w:before="0" w:beforeAutospacing="0" w:after="0" w:afterAutospacing="0" w:line="580" w:lineRule="exact"/>
        <w:jc w:val="center"/>
        <w:rPr>
          <w:rFonts w:ascii="黑体" w:eastAsia="黑体" w:hAnsi="黑体"/>
          <w:bCs/>
          <w:sz w:val="32"/>
          <w:szCs w:val="32"/>
        </w:rPr>
      </w:pPr>
      <w:r>
        <w:rPr>
          <w:rFonts w:ascii="黑体" w:eastAsia="黑体" w:hAnsi="黑体" w:hint="eastAsia"/>
          <w:bCs/>
          <w:sz w:val="32"/>
          <w:szCs w:val="32"/>
        </w:rPr>
        <w:t>第六章  项目验收及成果管理</w:t>
      </w:r>
    </w:p>
    <w:p w:rsidR="00811410" w:rsidRDefault="00811410" w:rsidP="00811410">
      <w:pPr>
        <w:pStyle w:val="aa"/>
        <w:widowControl w:val="0"/>
        <w:spacing w:before="0" w:beforeAutospacing="0" w:after="0" w:afterAutospacing="0" w:line="580" w:lineRule="exact"/>
        <w:jc w:val="center"/>
        <w:rPr>
          <w:rFonts w:ascii="黑体" w:eastAsia="黑体" w:hAnsi="黑体"/>
          <w:bCs/>
          <w:sz w:val="32"/>
          <w:szCs w:val="32"/>
        </w:rPr>
      </w:pP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第二十八条 </w:t>
      </w:r>
      <w:r>
        <w:rPr>
          <w:rFonts w:ascii="仿宋_GB2312" w:eastAsia="仿宋_GB2312" w:hAnsi="黑体" w:cs="Times New Roman" w:hint="eastAsia"/>
          <w:bCs/>
          <w:kern w:val="2"/>
          <w:sz w:val="32"/>
          <w:szCs w:val="32"/>
        </w:rPr>
        <w:t>项目申请人及依托单位应在基金项目完成或到期时，及时向能源集团提出综合绩效评价（验收）申请，并提交《</w:t>
      </w:r>
      <w:r>
        <w:rPr>
          <w:rFonts w:ascii="仿宋_GB2312" w:eastAsia="仿宋_GB2312" w:hAnsi="AlibabaPuHui" w:hint="eastAsia"/>
          <w:sz w:val="32"/>
          <w:szCs w:val="32"/>
        </w:rPr>
        <w:t>山东能源集团有限公司</w:t>
      </w:r>
      <w:r>
        <w:rPr>
          <w:rFonts w:ascii="仿宋_GB2312" w:eastAsia="仿宋_GB2312" w:cs="Times New Roman" w:hint="eastAsia"/>
          <w:sz w:val="32"/>
        </w:rPr>
        <w:t>科技创新开放基金</w:t>
      </w:r>
      <w:r>
        <w:rPr>
          <w:rFonts w:ascii="仿宋_GB2312" w:eastAsia="仿宋_GB2312" w:hAnsi="AlibabaPuHui" w:hint="eastAsia"/>
          <w:sz w:val="32"/>
          <w:szCs w:val="32"/>
        </w:rPr>
        <w:t>项目综合绩效评价报告</w:t>
      </w:r>
      <w:r>
        <w:rPr>
          <w:rFonts w:ascii="仿宋_GB2312" w:eastAsia="仿宋_GB2312" w:hAnsi="黑体" w:cs="Times New Roman" w:hint="eastAsia"/>
          <w:bCs/>
          <w:kern w:val="2"/>
          <w:sz w:val="32"/>
          <w:szCs w:val="32"/>
        </w:rPr>
        <w:t>》及相关佐证材料</w:t>
      </w:r>
      <w:r>
        <w:rPr>
          <w:rFonts w:ascii="仿宋_GB2312" w:eastAsia="仿宋_GB2312" w:hAnsi="AlibabaPuHui" w:hint="eastAsia"/>
          <w:sz w:val="32"/>
          <w:szCs w:val="32"/>
        </w:rPr>
        <w:t>。</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cs="Times New Roman"/>
          <w:bCs/>
          <w:kern w:val="2"/>
          <w:sz w:val="32"/>
          <w:szCs w:val="32"/>
        </w:rPr>
      </w:pPr>
      <w:r>
        <w:rPr>
          <w:rFonts w:ascii="黑体" w:eastAsia="黑体" w:hAnsi="黑体" w:cs="Times New Roman" w:hint="eastAsia"/>
          <w:bCs/>
          <w:kern w:val="2"/>
          <w:sz w:val="32"/>
          <w:szCs w:val="32"/>
        </w:rPr>
        <w:t xml:space="preserve">第二十九条 </w:t>
      </w:r>
      <w:r>
        <w:rPr>
          <w:rFonts w:ascii="仿宋_GB2312" w:eastAsia="仿宋_GB2312" w:hAnsi="黑体" w:cs="Times New Roman" w:hint="eastAsia"/>
          <w:bCs/>
          <w:kern w:val="2"/>
          <w:sz w:val="32"/>
          <w:szCs w:val="32"/>
        </w:rPr>
        <w:t>能源集团建立健全开放基金项目综合绩效评价标准，并组织专家对项目完成情况进行综合绩效评价（验收），形成综合绩效评价结论。综合绩效评价等级分为优秀、一般、差，对应验收结论为：通过验收、结题、不通过验收。</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cs="Times New Roman"/>
          <w:bCs/>
          <w:kern w:val="2"/>
          <w:sz w:val="32"/>
          <w:szCs w:val="32"/>
        </w:rPr>
      </w:pPr>
      <w:r>
        <w:rPr>
          <w:rFonts w:ascii="黑体" w:eastAsia="黑体" w:hAnsi="黑体" w:cs="Times New Roman" w:hint="eastAsia"/>
          <w:bCs/>
          <w:kern w:val="2"/>
          <w:sz w:val="32"/>
          <w:szCs w:val="32"/>
        </w:rPr>
        <w:lastRenderedPageBreak/>
        <w:t xml:space="preserve">第三十条 </w:t>
      </w:r>
      <w:r>
        <w:rPr>
          <w:rFonts w:ascii="仿宋_GB2312" w:eastAsia="仿宋_GB2312" w:hAnsi="黑体" w:cs="Times New Roman" w:hint="eastAsia"/>
          <w:bCs/>
          <w:kern w:val="2"/>
          <w:sz w:val="32"/>
          <w:szCs w:val="32"/>
        </w:rPr>
        <w:t>项目在绩效评价中，存在下列行为之一的，绩效评价等级为差、验收结论为不通过。</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cs="Times New Roman"/>
          <w:bCs/>
          <w:kern w:val="2"/>
          <w:sz w:val="32"/>
          <w:szCs w:val="32"/>
        </w:rPr>
      </w:pPr>
      <w:r>
        <w:rPr>
          <w:rFonts w:ascii="仿宋_GB2312" w:eastAsia="仿宋_GB2312" w:hAnsi="黑体" w:cs="Times New Roman" w:hint="eastAsia"/>
          <w:bCs/>
          <w:kern w:val="2"/>
          <w:sz w:val="32"/>
          <w:szCs w:val="32"/>
        </w:rPr>
        <w:t>（一）因非不可抗拒因素，未能完成项目合同书约定的考核指标，未能取得预期成果或成果无科学实用价值。</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cs="Times New Roman"/>
          <w:bCs/>
          <w:kern w:val="2"/>
          <w:sz w:val="32"/>
          <w:szCs w:val="32"/>
        </w:rPr>
      </w:pPr>
      <w:r>
        <w:rPr>
          <w:rFonts w:ascii="仿宋_GB2312" w:eastAsia="仿宋_GB2312" w:hAnsi="黑体" w:cs="Times New Roman" w:hint="eastAsia"/>
          <w:bCs/>
          <w:kern w:val="2"/>
          <w:sz w:val="32"/>
          <w:szCs w:val="32"/>
        </w:rPr>
        <w:t>（二）未按要求提交全部材料的。</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cs="Times New Roman"/>
          <w:bCs/>
          <w:kern w:val="2"/>
          <w:sz w:val="32"/>
          <w:szCs w:val="32"/>
        </w:rPr>
      </w:pPr>
      <w:r>
        <w:rPr>
          <w:rFonts w:ascii="仿宋_GB2312" w:eastAsia="仿宋_GB2312" w:hAnsi="黑体" w:cs="Times New Roman" w:hint="eastAsia"/>
          <w:bCs/>
          <w:kern w:val="2"/>
          <w:sz w:val="32"/>
          <w:szCs w:val="32"/>
        </w:rPr>
        <w:t>（三）提供的文件、资料、数据存在弄虚作假的。</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cs="Times New Roman"/>
          <w:bCs/>
          <w:kern w:val="2"/>
          <w:sz w:val="32"/>
          <w:szCs w:val="32"/>
        </w:rPr>
      </w:pPr>
      <w:r>
        <w:rPr>
          <w:rFonts w:ascii="仿宋_GB2312" w:eastAsia="仿宋_GB2312" w:hAnsi="黑体" w:cs="Times New Roman" w:hint="eastAsia"/>
          <w:bCs/>
          <w:kern w:val="2"/>
          <w:sz w:val="32"/>
          <w:szCs w:val="32"/>
        </w:rPr>
        <w:t>（四）未按相关要求报批重大调整事项的。</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cs="Times New Roman"/>
          <w:bCs/>
          <w:kern w:val="2"/>
          <w:sz w:val="32"/>
          <w:szCs w:val="32"/>
        </w:rPr>
      </w:pPr>
      <w:r>
        <w:rPr>
          <w:rFonts w:ascii="黑体" w:eastAsia="黑体" w:hAnsi="黑体" w:cs="Times New Roman" w:hint="eastAsia"/>
          <w:bCs/>
          <w:kern w:val="2"/>
          <w:sz w:val="32"/>
          <w:szCs w:val="32"/>
        </w:rPr>
        <w:t xml:space="preserve">第三十一条 </w:t>
      </w:r>
      <w:r>
        <w:rPr>
          <w:rFonts w:ascii="仿宋_GB2312" w:eastAsia="仿宋_GB2312" w:hAnsi="黑体" w:cs="Times New Roman" w:hint="eastAsia"/>
          <w:bCs/>
          <w:kern w:val="2"/>
          <w:sz w:val="32"/>
          <w:szCs w:val="32"/>
        </w:rPr>
        <w:t>对评价结果优秀的，在后续基金项目申报中给予优先支持；评价结果为结题的，不再拨付后续资金，并限制申报后续项目；评价结果为不通过的，纳入能源集团科研诚信记录。</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highlight w:val="yellow"/>
        </w:rPr>
      </w:pPr>
      <w:r>
        <w:rPr>
          <w:rFonts w:ascii="黑体" w:eastAsia="黑体" w:hAnsi="黑体" w:cs="Times New Roman" w:hint="eastAsia"/>
          <w:bCs/>
          <w:kern w:val="2"/>
          <w:sz w:val="32"/>
          <w:szCs w:val="32"/>
        </w:rPr>
        <w:t xml:space="preserve">第三十二条 </w:t>
      </w:r>
      <w:r>
        <w:rPr>
          <w:rFonts w:ascii="仿宋_GB2312" w:eastAsia="仿宋_GB2312" w:cs="Times New Roman" w:hint="eastAsia"/>
          <w:sz w:val="32"/>
        </w:rPr>
        <w:t>对于开放基金</w:t>
      </w:r>
      <w:r>
        <w:rPr>
          <w:rFonts w:ascii="仿宋_GB2312" w:eastAsia="仿宋_GB2312" w:hAnsi="AlibabaPuHui" w:hint="eastAsia"/>
          <w:sz w:val="32"/>
          <w:szCs w:val="32"/>
        </w:rPr>
        <w:t>项目形成的专利、标准、技术秘密和软件著作权等成果，能源集团与项目依托单位共同享有成果产权，能源集团为第一权利人或著作权人；发表的专著、论文等，署名单位应包括能源集团相应研发平台。</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r>
        <w:rPr>
          <w:rFonts w:ascii="黑体" w:eastAsia="黑体" w:hAnsi="黑体" w:cs="Times New Roman" w:hint="eastAsia"/>
          <w:bCs/>
          <w:kern w:val="2"/>
          <w:sz w:val="32"/>
          <w:szCs w:val="32"/>
        </w:rPr>
        <w:t xml:space="preserve">第三十三条 </w:t>
      </w:r>
      <w:r>
        <w:rPr>
          <w:rFonts w:ascii="仿宋_GB2312" w:eastAsia="仿宋_GB2312" w:cs="Times New Roman" w:hint="eastAsia"/>
          <w:sz w:val="32"/>
        </w:rPr>
        <w:t>科技创新开放基金</w:t>
      </w:r>
      <w:r>
        <w:rPr>
          <w:rFonts w:ascii="仿宋_GB2312" w:eastAsia="仿宋_GB2312" w:hAnsi="AlibabaPuHui" w:hint="eastAsia"/>
          <w:sz w:val="32"/>
          <w:szCs w:val="32"/>
        </w:rPr>
        <w:t>项目形成的论文、专著、专利、标准或鉴定、获奖、成果报道等须标注“山东能源集团有限公司****（平台名称）开放基金支持”字样，英文为“S</w:t>
      </w:r>
      <w:r>
        <w:rPr>
          <w:rFonts w:ascii="仿宋_GB2312" w:eastAsia="仿宋_GB2312" w:hAnsi="AlibabaPuHui"/>
          <w:sz w:val="32"/>
          <w:szCs w:val="32"/>
        </w:rPr>
        <w:t xml:space="preserve">ponsored by </w:t>
      </w:r>
      <w:r>
        <w:rPr>
          <w:rFonts w:ascii="仿宋_GB2312" w:eastAsia="仿宋_GB2312" w:hAnsi="AlibabaPuHui" w:hint="eastAsia"/>
          <w:sz w:val="32"/>
          <w:szCs w:val="32"/>
        </w:rPr>
        <w:t xml:space="preserve">*****  </w:t>
      </w:r>
      <w:r>
        <w:rPr>
          <w:rFonts w:ascii="仿宋_GB2312" w:eastAsia="仿宋_GB2312" w:hAnsi="AlibabaPuHui"/>
          <w:sz w:val="32"/>
          <w:szCs w:val="32"/>
        </w:rPr>
        <w:t>Innovation Fund of Shandong Energy Group</w:t>
      </w:r>
      <w:r>
        <w:rPr>
          <w:rFonts w:ascii="仿宋_GB2312" w:eastAsia="仿宋_GB2312" w:hAnsi="AlibabaPuHui" w:hint="eastAsia"/>
          <w:sz w:val="32"/>
          <w:szCs w:val="32"/>
        </w:rPr>
        <w:t>”。</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AlibabaPuHui" w:hint="eastAsia"/>
          <w:sz w:val="32"/>
          <w:szCs w:val="32"/>
        </w:rPr>
      </w:pPr>
    </w:p>
    <w:p w:rsidR="00811410" w:rsidRDefault="00811410" w:rsidP="00811410">
      <w:pPr>
        <w:pStyle w:val="aa"/>
        <w:widowControl w:val="0"/>
        <w:spacing w:before="0" w:beforeAutospacing="0" w:after="0" w:afterAutospacing="0" w:line="580" w:lineRule="exact"/>
        <w:jc w:val="center"/>
        <w:rPr>
          <w:rFonts w:ascii="黑体" w:eastAsia="黑体" w:hAnsi="黑体"/>
          <w:bCs/>
          <w:sz w:val="32"/>
          <w:szCs w:val="32"/>
        </w:rPr>
      </w:pPr>
      <w:r>
        <w:rPr>
          <w:rFonts w:ascii="黑体" w:eastAsia="黑体" w:hAnsi="黑体" w:hint="eastAsia"/>
          <w:bCs/>
          <w:sz w:val="32"/>
          <w:szCs w:val="32"/>
        </w:rPr>
        <w:t>第七章  附  则</w:t>
      </w:r>
    </w:p>
    <w:p w:rsidR="00811410" w:rsidRDefault="00811410" w:rsidP="00811410">
      <w:pPr>
        <w:pStyle w:val="aa"/>
        <w:widowControl w:val="0"/>
        <w:spacing w:before="0" w:beforeAutospacing="0" w:after="0" w:afterAutospacing="0" w:line="580" w:lineRule="exact"/>
        <w:jc w:val="center"/>
        <w:rPr>
          <w:rFonts w:ascii="黑体" w:eastAsia="黑体" w:hAnsi="黑体"/>
          <w:bCs/>
          <w:sz w:val="32"/>
          <w:szCs w:val="32"/>
        </w:rPr>
      </w:pP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cs="Times New Roman"/>
          <w:bCs/>
          <w:kern w:val="2"/>
          <w:sz w:val="32"/>
          <w:szCs w:val="32"/>
        </w:rPr>
      </w:pPr>
      <w:r>
        <w:rPr>
          <w:rFonts w:ascii="黑体" w:eastAsia="黑体" w:hAnsi="黑体" w:cs="Times New Roman" w:hint="eastAsia"/>
          <w:bCs/>
          <w:kern w:val="2"/>
          <w:sz w:val="32"/>
          <w:szCs w:val="32"/>
        </w:rPr>
        <w:t xml:space="preserve">第三十四条 </w:t>
      </w:r>
      <w:r>
        <w:rPr>
          <w:rFonts w:ascii="仿宋_GB2312" w:eastAsia="仿宋_GB2312" w:hAnsi="黑体" w:cs="Times New Roman" w:hint="eastAsia"/>
          <w:bCs/>
          <w:kern w:val="2"/>
          <w:sz w:val="32"/>
          <w:szCs w:val="32"/>
        </w:rPr>
        <w:t>本办法未尽事宜，参照能源集团《科技项目</w:t>
      </w:r>
      <w:r>
        <w:rPr>
          <w:rFonts w:ascii="仿宋_GB2312" w:eastAsia="仿宋_GB2312" w:hAnsi="黑体" w:cs="Times New Roman" w:hint="eastAsia"/>
          <w:bCs/>
          <w:kern w:val="2"/>
          <w:sz w:val="32"/>
          <w:szCs w:val="32"/>
        </w:rPr>
        <w:lastRenderedPageBreak/>
        <w:t>管理办法》（山能集团发〔</w:t>
      </w:r>
      <w:r>
        <w:rPr>
          <w:rFonts w:ascii="仿宋_GB2312" w:eastAsia="仿宋_GB2312" w:hAnsi="黑体" w:cs="Times New Roman"/>
          <w:bCs/>
          <w:kern w:val="2"/>
          <w:sz w:val="32"/>
          <w:szCs w:val="32"/>
        </w:rPr>
        <w:t>2024〕29号</w:t>
      </w:r>
      <w:r>
        <w:rPr>
          <w:rFonts w:ascii="仿宋_GB2312" w:eastAsia="仿宋_GB2312" w:hAnsi="黑体" w:cs="Times New Roman" w:hint="eastAsia"/>
          <w:bCs/>
          <w:kern w:val="2"/>
          <w:sz w:val="32"/>
          <w:szCs w:val="32"/>
        </w:rPr>
        <w:t>）等有关规定执行。</w:t>
      </w:r>
    </w:p>
    <w:p w:rsidR="00811410" w:rsidRDefault="00811410" w:rsidP="00811410">
      <w:pPr>
        <w:pStyle w:val="aa"/>
        <w:widowControl w:val="0"/>
        <w:spacing w:before="0" w:beforeAutospacing="0" w:after="0" w:afterAutospacing="0" w:line="580" w:lineRule="exact"/>
        <w:ind w:firstLineChars="200" w:firstLine="640"/>
        <w:jc w:val="both"/>
        <w:rPr>
          <w:rFonts w:ascii="仿宋_GB2312" w:eastAsia="仿宋_GB2312" w:hAnsi="黑体"/>
          <w:bCs/>
          <w:sz w:val="32"/>
          <w:szCs w:val="32"/>
        </w:rPr>
      </w:pPr>
      <w:r>
        <w:rPr>
          <w:rFonts w:ascii="黑体" w:eastAsia="黑体" w:hAnsi="黑体" w:cs="Times New Roman" w:hint="eastAsia"/>
          <w:bCs/>
          <w:kern w:val="2"/>
          <w:sz w:val="32"/>
          <w:szCs w:val="32"/>
        </w:rPr>
        <w:t xml:space="preserve">第三十五条 </w:t>
      </w:r>
      <w:r>
        <w:rPr>
          <w:rFonts w:ascii="仿宋_GB2312" w:eastAsia="仿宋_GB2312" w:hAnsi="黑体" w:cs="Times New Roman" w:hint="eastAsia"/>
          <w:bCs/>
          <w:kern w:val="2"/>
          <w:sz w:val="32"/>
          <w:szCs w:val="32"/>
        </w:rPr>
        <w:t>本办法自印发之日起实施，解释权归山东能源集团有限公司。</w:t>
      </w:r>
    </w:p>
    <w:p w:rsidR="00811410" w:rsidRDefault="00811410" w:rsidP="00811410">
      <w:pPr>
        <w:spacing w:line="560" w:lineRule="exact"/>
        <w:rPr>
          <w:rFonts w:ascii="仿宋_GB2312" w:eastAsia="仿宋_GB2312"/>
          <w:sz w:val="32"/>
          <w:szCs w:val="32"/>
        </w:rPr>
      </w:pPr>
    </w:p>
    <w:p w:rsidR="00C80932" w:rsidRPr="00811410" w:rsidRDefault="00C80932" w:rsidP="00811410">
      <w:pPr>
        <w:spacing w:line="580" w:lineRule="exact"/>
        <w:jc w:val="center"/>
        <w:rPr>
          <w:rFonts w:ascii="仿宋_GB2312" w:eastAsia="仿宋_GB2312" w:hAnsi="黑体"/>
          <w:bCs/>
          <w:sz w:val="32"/>
          <w:szCs w:val="32"/>
        </w:rPr>
      </w:pPr>
    </w:p>
    <w:sectPr w:rsidR="00C80932" w:rsidRPr="008114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93A" w:rsidRDefault="0019393A">
      <w:r>
        <w:separator/>
      </w:r>
    </w:p>
  </w:endnote>
  <w:endnote w:type="continuationSeparator" w:id="0">
    <w:p w:rsidR="0019393A" w:rsidRDefault="0019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libabaPuHu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932" w:rsidRDefault="003E5F41">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0932" w:rsidRDefault="003E5F41">
                          <w:pPr>
                            <w:pStyle w:val="a6"/>
                          </w:pPr>
                          <w:r>
                            <w:fldChar w:fldCharType="begin"/>
                          </w:r>
                          <w:r>
                            <w:instrText xml:space="preserve"> PAGE  \* MERGEFORMAT </w:instrText>
                          </w:r>
                          <w:r>
                            <w:fldChar w:fldCharType="separate"/>
                          </w:r>
                          <w:r w:rsidR="001A55F1">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80932" w:rsidRDefault="003E5F41">
                    <w:pPr>
                      <w:pStyle w:val="a6"/>
                    </w:pPr>
                    <w:r>
                      <w:fldChar w:fldCharType="begin"/>
                    </w:r>
                    <w:r>
                      <w:instrText xml:space="preserve"> PAGE  \* MERGEFORMAT </w:instrText>
                    </w:r>
                    <w:r>
                      <w:fldChar w:fldCharType="separate"/>
                    </w:r>
                    <w:r w:rsidR="001A55F1">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93A" w:rsidRDefault="0019393A">
      <w:r>
        <w:separator/>
      </w:r>
    </w:p>
  </w:footnote>
  <w:footnote w:type="continuationSeparator" w:id="0">
    <w:p w:rsidR="0019393A" w:rsidRDefault="00193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6dde3f85-5857-4a11-be3c-99040f0041b5"/>
  </w:docVars>
  <w:rsids>
    <w:rsidRoot w:val="00592729"/>
    <w:rsid w:val="BBFFF8B6"/>
    <w:rsid w:val="0000433C"/>
    <w:rsid w:val="00005D2E"/>
    <w:rsid w:val="00007AFA"/>
    <w:rsid w:val="0003723A"/>
    <w:rsid w:val="0006073F"/>
    <w:rsid w:val="00065F0C"/>
    <w:rsid w:val="0007645D"/>
    <w:rsid w:val="00087B71"/>
    <w:rsid w:val="00096A05"/>
    <w:rsid w:val="000C4A80"/>
    <w:rsid w:val="000D7CCB"/>
    <w:rsid w:val="000F3FFF"/>
    <w:rsid w:val="00102A98"/>
    <w:rsid w:val="00110E4C"/>
    <w:rsid w:val="001306DA"/>
    <w:rsid w:val="001346D1"/>
    <w:rsid w:val="00146BA4"/>
    <w:rsid w:val="00180356"/>
    <w:rsid w:val="001817E7"/>
    <w:rsid w:val="00182ADB"/>
    <w:rsid w:val="00185587"/>
    <w:rsid w:val="00192205"/>
    <w:rsid w:val="0019393A"/>
    <w:rsid w:val="001A0929"/>
    <w:rsid w:val="001A55F1"/>
    <w:rsid w:val="001B0479"/>
    <w:rsid w:val="001B3AA7"/>
    <w:rsid w:val="001C73BB"/>
    <w:rsid w:val="001D64CF"/>
    <w:rsid w:val="001E5E26"/>
    <w:rsid w:val="001E5EFE"/>
    <w:rsid w:val="001F4830"/>
    <w:rsid w:val="002151D6"/>
    <w:rsid w:val="0022486F"/>
    <w:rsid w:val="00232D32"/>
    <w:rsid w:val="00242B6F"/>
    <w:rsid w:val="00265287"/>
    <w:rsid w:val="00272F0F"/>
    <w:rsid w:val="00291EC1"/>
    <w:rsid w:val="002952EA"/>
    <w:rsid w:val="002A50A9"/>
    <w:rsid w:val="002C3E94"/>
    <w:rsid w:val="002D2120"/>
    <w:rsid w:val="002D3C1A"/>
    <w:rsid w:val="002E07ED"/>
    <w:rsid w:val="002E2A69"/>
    <w:rsid w:val="002E2E63"/>
    <w:rsid w:val="002E4501"/>
    <w:rsid w:val="002E7912"/>
    <w:rsid w:val="002F554E"/>
    <w:rsid w:val="00301424"/>
    <w:rsid w:val="00302710"/>
    <w:rsid w:val="00307122"/>
    <w:rsid w:val="00307DF8"/>
    <w:rsid w:val="00331CFD"/>
    <w:rsid w:val="00341546"/>
    <w:rsid w:val="003542D9"/>
    <w:rsid w:val="00383B05"/>
    <w:rsid w:val="00384436"/>
    <w:rsid w:val="00385CEB"/>
    <w:rsid w:val="003A3EDF"/>
    <w:rsid w:val="003C3A35"/>
    <w:rsid w:val="003C6B3B"/>
    <w:rsid w:val="003E5F41"/>
    <w:rsid w:val="003F369D"/>
    <w:rsid w:val="00410018"/>
    <w:rsid w:val="004104C5"/>
    <w:rsid w:val="004272C7"/>
    <w:rsid w:val="0044217F"/>
    <w:rsid w:val="00445D11"/>
    <w:rsid w:val="0044759E"/>
    <w:rsid w:val="004A0328"/>
    <w:rsid w:val="004B5B70"/>
    <w:rsid w:val="004C491E"/>
    <w:rsid w:val="004D1257"/>
    <w:rsid w:val="004E15A8"/>
    <w:rsid w:val="004E54E4"/>
    <w:rsid w:val="004F0FDB"/>
    <w:rsid w:val="005148A4"/>
    <w:rsid w:val="00546E16"/>
    <w:rsid w:val="00560341"/>
    <w:rsid w:val="005748AE"/>
    <w:rsid w:val="005811DC"/>
    <w:rsid w:val="0058386A"/>
    <w:rsid w:val="00585EAB"/>
    <w:rsid w:val="005911C2"/>
    <w:rsid w:val="00592729"/>
    <w:rsid w:val="00594D85"/>
    <w:rsid w:val="00595965"/>
    <w:rsid w:val="005D271E"/>
    <w:rsid w:val="005E2C49"/>
    <w:rsid w:val="005F27E2"/>
    <w:rsid w:val="00603CB6"/>
    <w:rsid w:val="0062181F"/>
    <w:rsid w:val="00626954"/>
    <w:rsid w:val="0064153C"/>
    <w:rsid w:val="00643F01"/>
    <w:rsid w:val="00645F22"/>
    <w:rsid w:val="00655D1C"/>
    <w:rsid w:val="00660528"/>
    <w:rsid w:val="006828A3"/>
    <w:rsid w:val="006933F2"/>
    <w:rsid w:val="006B30F3"/>
    <w:rsid w:val="006B5E2D"/>
    <w:rsid w:val="006C65B5"/>
    <w:rsid w:val="006D0026"/>
    <w:rsid w:val="006D7926"/>
    <w:rsid w:val="00715142"/>
    <w:rsid w:val="00715423"/>
    <w:rsid w:val="007252EE"/>
    <w:rsid w:val="00754A57"/>
    <w:rsid w:val="00775FDE"/>
    <w:rsid w:val="00783697"/>
    <w:rsid w:val="007A67D8"/>
    <w:rsid w:val="007A7AF8"/>
    <w:rsid w:val="007B75F5"/>
    <w:rsid w:val="007D0914"/>
    <w:rsid w:val="008047B9"/>
    <w:rsid w:val="0080760D"/>
    <w:rsid w:val="00811410"/>
    <w:rsid w:val="00842C34"/>
    <w:rsid w:val="0084644C"/>
    <w:rsid w:val="00850BA0"/>
    <w:rsid w:val="00884684"/>
    <w:rsid w:val="008B033D"/>
    <w:rsid w:val="008D2402"/>
    <w:rsid w:val="008D323C"/>
    <w:rsid w:val="008E0DEA"/>
    <w:rsid w:val="008E420A"/>
    <w:rsid w:val="009024EA"/>
    <w:rsid w:val="00904070"/>
    <w:rsid w:val="009114D1"/>
    <w:rsid w:val="00914FDC"/>
    <w:rsid w:val="00947109"/>
    <w:rsid w:val="0095078D"/>
    <w:rsid w:val="0095149A"/>
    <w:rsid w:val="00953E72"/>
    <w:rsid w:val="00960562"/>
    <w:rsid w:val="009837A7"/>
    <w:rsid w:val="009A39CA"/>
    <w:rsid w:val="009D1DC7"/>
    <w:rsid w:val="009D6D32"/>
    <w:rsid w:val="009F32DD"/>
    <w:rsid w:val="009F7220"/>
    <w:rsid w:val="00A07C9C"/>
    <w:rsid w:val="00A430C0"/>
    <w:rsid w:val="00A47E75"/>
    <w:rsid w:val="00A661CF"/>
    <w:rsid w:val="00A85B3F"/>
    <w:rsid w:val="00A948F9"/>
    <w:rsid w:val="00AA3459"/>
    <w:rsid w:val="00AB4CE2"/>
    <w:rsid w:val="00AC087B"/>
    <w:rsid w:val="00AC5BD3"/>
    <w:rsid w:val="00AC6295"/>
    <w:rsid w:val="00AC640A"/>
    <w:rsid w:val="00AF4190"/>
    <w:rsid w:val="00AF4945"/>
    <w:rsid w:val="00B0356E"/>
    <w:rsid w:val="00B04702"/>
    <w:rsid w:val="00B136B2"/>
    <w:rsid w:val="00B17F92"/>
    <w:rsid w:val="00B26D60"/>
    <w:rsid w:val="00B41F4C"/>
    <w:rsid w:val="00B57521"/>
    <w:rsid w:val="00B620AD"/>
    <w:rsid w:val="00B67229"/>
    <w:rsid w:val="00B71E60"/>
    <w:rsid w:val="00B869B9"/>
    <w:rsid w:val="00B9319A"/>
    <w:rsid w:val="00B964B1"/>
    <w:rsid w:val="00BA1859"/>
    <w:rsid w:val="00BA4A38"/>
    <w:rsid w:val="00BB11CA"/>
    <w:rsid w:val="00BB2234"/>
    <w:rsid w:val="00BB3957"/>
    <w:rsid w:val="00BB5B3A"/>
    <w:rsid w:val="00BD02CE"/>
    <w:rsid w:val="00BD3117"/>
    <w:rsid w:val="00BD3807"/>
    <w:rsid w:val="00BD43E9"/>
    <w:rsid w:val="00BE33C7"/>
    <w:rsid w:val="00C053AF"/>
    <w:rsid w:val="00C0770F"/>
    <w:rsid w:val="00C16234"/>
    <w:rsid w:val="00C23BA7"/>
    <w:rsid w:val="00C306B4"/>
    <w:rsid w:val="00C41354"/>
    <w:rsid w:val="00C53B76"/>
    <w:rsid w:val="00C6569D"/>
    <w:rsid w:val="00C74759"/>
    <w:rsid w:val="00C75DA6"/>
    <w:rsid w:val="00C80932"/>
    <w:rsid w:val="00C85153"/>
    <w:rsid w:val="00C86D6E"/>
    <w:rsid w:val="00C931CC"/>
    <w:rsid w:val="00CA2180"/>
    <w:rsid w:val="00CB3CC7"/>
    <w:rsid w:val="00CB4258"/>
    <w:rsid w:val="00CB4B0C"/>
    <w:rsid w:val="00CC129D"/>
    <w:rsid w:val="00CD0CBF"/>
    <w:rsid w:val="00CD5BB6"/>
    <w:rsid w:val="00CE7642"/>
    <w:rsid w:val="00CF148E"/>
    <w:rsid w:val="00CF4ED2"/>
    <w:rsid w:val="00D45A11"/>
    <w:rsid w:val="00D46581"/>
    <w:rsid w:val="00D50970"/>
    <w:rsid w:val="00D56233"/>
    <w:rsid w:val="00D57EF8"/>
    <w:rsid w:val="00D763B3"/>
    <w:rsid w:val="00D7682C"/>
    <w:rsid w:val="00D93CD6"/>
    <w:rsid w:val="00D9435D"/>
    <w:rsid w:val="00DB53CD"/>
    <w:rsid w:val="00E04300"/>
    <w:rsid w:val="00E15E47"/>
    <w:rsid w:val="00E20093"/>
    <w:rsid w:val="00E30C7B"/>
    <w:rsid w:val="00E52ED6"/>
    <w:rsid w:val="00E5443B"/>
    <w:rsid w:val="00E66E5F"/>
    <w:rsid w:val="00E764C8"/>
    <w:rsid w:val="00E91DD8"/>
    <w:rsid w:val="00E92AC1"/>
    <w:rsid w:val="00E95A6E"/>
    <w:rsid w:val="00E97CD1"/>
    <w:rsid w:val="00EA058C"/>
    <w:rsid w:val="00EB5C2A"/>
    <w:rsid w:val="00EB6602"/>
    <w:rsid w:val="00EB776A"/>
    <w:rsid w:val="00EC3E85"/>
    <w:rsid w:val="00ED7B1D"/>
    <w:rsid w:val="00EE2E1B"/>
    <w:rsid w:val="00EE7491"/>
    <w:rsid w:val="00EF2C08"/>
    <w:rsid w:val="00EF3183"/>
    <w:rsid w:val="00EF7117"/>
    <w:rsid w:val="00F03997"/>
    <w:rsid w:val="00F0633C"/>
    <w:rsid w:val="00F110A2"/>
    <w:rsid w:val="00F148B1"/>
    <w:rsid w:val="00F3284A"/>
    <w:rsid w:val="00F40473"/>
    <w:rsid w:val="00F6182E"/>
    <w:rsid w:val="00F657E7"/>
    <w:rsid w:val="00F8312A"/>
    <w:rsid w:val="00FA0B01"/>
    <w:rsid w:val="00FA277B"/>
    <w:rsid w:val="00FA2BB8"/>
    <w:rsid w:val="00FC5DD7"/>
    <w:rsid w:val="016C2D4F"/>
    <w:rsid w:val="01B41623"/>
    <w:rsid w:val="0211584D"/>
    <w:rsid w:val="02955F60"/>
    <w:rsid w:val="04096B4E"/>
    <w:rsid w:val="04B63916"/>
    <w:rsid w:val="05E05ABA"/>
    <w:rsid w:val="08B924A5"/>
    <w:rsid w:val="0A0F3976"/>
    <w:rsid w:val="0A421022"/>
    <w:rsid w:val="0D1063E2"/>
    <w:rsid w:val="0D5A22A1"/>
    <w:rsid w:val="0E973FEF"/>
    <w:rsid w:val="0FAC0AC6"/>
    <w:rsid w:val="0FB5502A"/>
    <w:rsid w:val="109A41F8"/>
    <w:rsid w:val="112F75EE"/>
    <w:rsid w:val="11490928"/>
    <w:rsid w:val="130E23CF"/>
    <w:rsid w:val="13EA1B9B"/>
    <w:rsid w:val="142C45C0"/>
    <w:rsid w:val="14736B91"/>
    <w:rsid w:val="14E24596"/>
    <w:rsid w:val="15035321"/>
    <w:rsid w:val="16283973"/>
    <w:rsid w:val="167846F6"/>
    <w:rsid w:val="169326D4"/>
    <w:rsid w:val="16F5338F"/>
    <w:rsid w:val="17241C67"/>
    <w:rsid w:val="17692179"/>
    <w:rsid w:val="18474F2A"/>
    <w:rsid w:val="199D0CFC"/>
    <w:rsid w:val="1B0B2E68"/>
    <w:rsid w:val="1C233501"/>
    <w:rsid w:val="1C492D57"/>
    <w:rsid w:val="1D626B71"/>
    <w:rsid w:val="1EE911AB"/>
    <w:rsid w:val="1FD955FC"/>
    <w:rsid w:val="219C0FD7"/>
    <w:rsid w:val="21A3692F"/>
    <w:rsid w:val="224751C3"/>
    <w:rsid w:val="2355768F"/>
    <w:rsid w:val="23C038FB"/>
    <w:rsid w:val="243A473A"/>
    <w:rsid w:val="24A02B8C"/>
    <w:rsid w:val="24AD3DD7"/>
    <w:rsid w:val="25083F9E"/>
    <w:rsid w:val="275209F3"/>
    <w:rsid w:val="27871DE1"/>
    <w:rsid w:val="283F4932"/>
    <w:rsid w:val="29C8387C"/>
    <w:rsid w:val="2A2B6065"/>
    <w:rsid w:val="2B1C27EF"/>
    <w:rsid w:val="2C102CB1"/>
    <w:rsid w:val="2CB83305"/>
    <w:rsid w:val="2CBF5EA4"/>
    <w:rsid w:val="2CF84628"/>
    <w:rsid w:val="2D220BFE"/>
    <w:rsid w:val="2D794826"/>
    <w:rsid w:val="2E5044F2"/>
    <w:rsid w:val="2F025F02"/>
    <w:rsid w:val="2F414F6C"/>
    <w:rsid w:val="2F8121CF"/>
    <w:rsid w:val="30F51206"/>
    <w:rsid w:val="32DD47AB"/>
    <w:rsid w:val="33DF3AF8"/>
    <w:rsid w:val="33E263DD"/>
    <w:rsid w:val="351C2343"/>
    <w:rsid w:val="355E0C9B"/>
    <w:rsid w:val="363F76CF"/>
    <w:rsid w:val="36950C8C"/>
    <w:rsid w:val="36A3210E"/>
    <w:rsid w:val="36E32C1D"/>
    <w:rsid w:val="375228B9"/>
    <w:rsid w:val="39563F09"/>
    <w:rsid w:val="397059E5"/>
    <w:rsid w:val="39EB99EC"/>
    <w:rsid w:val="3A236AF8"/>
    <w:rsid w:val="3A316DF4"/>
    <w:rsid w:val="3E285C74"/>
    <w:rsid w:val="3E7B76EF"/>
    <w:rsid w:val="3F9D079D"/>
    <w:rsid w:val="40A5436A"/>
    <w:rsid w:val="40C92AAF"/>
    <w:rsid w:val="436E01FE"/>
    <w:rsid w:val="4459791B"/>
    <w:rsid w:val="461576BB"/>
    <w:rsid w:val="46496788"/>
    <w:rsid w:val="4740402F"/>
    <w:rsid w:val="4A315EB1"/>
    <w:rsid w:val="4BD71D7A"/>
    <w:rsid w:val="4BDF0DA7"/>
    <w:rsid w:val="4C5E644E"/>
    <w:rsid w:val="4DD0725F"/>
    <w:rsid w:val="4E347D1E"/>
    <w:rsid w:val="4EAD5D22"/>
    <w:rsid w:val="4EBC22C0"/>
    <w:rsid w:val="4F664415"/>
    <w:rsid w:val="50737D54"/>
    <w:rsid w:val="517F26E2"/>
    <w:rsid w:val="51E3133A"/>
    <w:rsid w:val="51F11B25"/>
    <w:rsid w:val="5291624E"/>
    <w:rsid w:val="533D65D9"/>
    <w:rsid w:val="54662BFB"/>
    <w:rsid w:val="573C5C14"/>
    <w:rsid w:val="581D1822"/>
    <w:rsid w:val="58303988"/>
    <w:rsid w:val="59174982"/>
    <w:rsid w:val="59A42A4F"/>
    <w:rsid w:val="59C71CF1"/>
    <w:rsid w:val="5AA82EA1"/>
    <w:rsid w:val="5ABC0AFA"/>
    <w:rsid w:val="5B4E7744"/>
    <w:rsid w:val="5B963B34"/>
    <w:rsid w:val="5B9F0056"/>
    <w:rsid w:val="5C961A92"/>
    <w:rsid w:val="5CAA75DD"/>
    <w:rsid w:val="5E0E058B"/>
    <w:rsid w:val="5EEF5BF3"/>
    <w:rsid w:val="5F3D2226"/>
    <w:rsid w:val="608838BA"/>
    <w:rsid w:val="60C30692"/>
    <w:rsid w:val="61277B9D"/>
    <w:rsid w:val="6138297B"/>
    <w:rsid w:val="61A80A5F"/>
    <w:rsid w:val="63486B09"/>
    <w:rsid w:val="63497C67"/>
    <w:rsid w:val="65DC302A"/>
    <w:rsid w:val="662B3557"/>
    <w:rsid w:val="668E5F32"/>
    <w:rsid w:val="67766B3E"/>
    <w:rsid w:val="691318F3"/>
    <w:rsid w:val="697664E2"/>
    <w:rsid w:val="69806F94"/>
    <w:rsid w:val="6AD105F8"/>
    <w:rsid w:val="6B634FBA"/>
    <w:rsid w:val="6B8C6ECC"/>
    <w:rsid w:val="6BDF0C6F"/>
    <w:rsid w:val="6C683BD9"/>
    <w:rsid w:val="6CE9417A"/>
    <w:rsid w:val="6E3974D8"/>
    <w:rsid w:val="6E6733A0"/>
    <w:rsid w:val="6F1F3235"/>
    <w:rsid w:val="6F8C7562"/>
    <w:rsid w:val="709F3291"/>
    <w:rsid w:val="70AE6603"/>
    <w:rsid w:val="71140195"/>
    <w:rsid w:val="72883222"/>
    <w:rsid w:val="7289422C"/>
    <w:rsid w:val="734C0DB6"/>
    <w:rsid w:val="735A34D3"/>
    <w:rsid w:val="737A5923"/>
    <w:rsid w:val="73832A2A"/>
    <w:rsid w:val="743A4385"/>
    <w:rsid w:val="748E6D46"/>
    <w:rsid w:val="74E06A3A"/>
    <w:rsid w:val="75CF2400"/>
    <w:rsid w:val="76F750A1"/>
    <w:rsid w:val="78D50209"/>
    <w:rsid w:val="78E35D19"/>
    <w:rsid w:val="78EF0EC2"/>
    <w:rsid w:val="7A8821E0"/>
    <w:rsid w:val="7A904AA9"/>
    <w:rsid w:val="7B292B90"/>
    <w:rsid w:val="7B734F53"/>
    <w:rsid w:val="7C116B41"/>
    <w:rsid w:val="7C3E7E36"/>
    <w:rsid w:val="7C9712F4"/>
    <w:rsid w:val="7CFFAB46"/>
    <w:rsid w:val="7DBDFDE9"/>
    <w:rsid w:val="7DE5083B"/>
    <w:rsid w:val="7DF13F81"/>
    <w:rsid w:val="7E4F76B8"/>
    <w:rsid w:val="7FFF2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B600684-4AD0-49C7-AB70-C265B88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uiPriority w:val="99"/>
    <w:unhideWhenUsed/>
    <w:qFormat/>
    <w:rPr>
      <w:rFonts w:ascii="Calibri" w:hAnsi="Calibri"/>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505</Words>
  <Characters>2884</Characters>
  <Application>Microsoft Office Word</Application>
  <DocSecurity>0</DocSecurity>
  <Lines>24</Lines>
  <Paragraphs>6</Paragraphs>
  <ScaleCrop>false</ScaleCrop>
  <Company>Organization</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战略研究院</dc:creator>
  <cp:lastModifiedBy>蒋学超</cp:lastModifiedBy>
  <cp:revision>5</cp:revision>
  <dcterms:created xsi:type="dcterms:W3CDTF">2025-01-23T05:59:00Z</dcterms:created>
  <dcterms:modified xsi:type="dcterms:W3CDTF">2025-02-11T06:42:00Z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A284BDE9E2E448C4B2DE34FCB08FF9EB_13</vt:lpwstr>
  </property>
  <property fmtid="{D5CDD505-2E9C-101B-9397-08002B2CF9AE}" pid="4" name="KSOTemplateDocerSaveRecord">
    <vt:lpwstr>eyJoZGlkIjoiMzEwNTM5NzYwMDRjMzkwZTVkZjY2ODkwMGIxNGU0OTUiLCJ1c2VySWQiOiI0NTM2NDc1NTQifQ==</vt:lpwstr>
  </property>
</Properties>
</file>